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7793D2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584398">
        <w:rPr>
          <w:bCs/>
          <w:noProof w:val="0"/>
          <w:sz w:val="24"/>
          <w:szCs w:val="24"/>
        </w:rPr>
        <w:t>09984</w:t>
      </w:r>
    </w:p>
    <w:p w14:paraId="11776FA6" w14:textId="6E8F6859"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96821">
        <w:rPr>
          <w:bCs/>
          <w:sz w:val="24"/>
          <w:szCs w:val="24"/>
          <w:lang w:eastAsia="zh-CN"/>
        </w:rPr>
        <w:t>02</w:t>
      </w:r>
      <w:r w:rsidR="006574C0" w:rsidRPr="006574C0">
        <w:rPr>
          <w:bCs/>
          <w:sz w:val="24"/>
          <w:szCs w:val="24"/>
          <w:lang w:eastAsia="zh-CN"/>
        </w:rPr>
        <w:t xml:space="preserve"> – </w:t>
      </w:r>
      <w:r w:rsidR="00696821">
        <w:rPr>
          <w:bCs/>
          <w:sz w:val="24"/>
          <w:szCs w:val="24"/>
          <w:lang w:eastAsia="zh-CN"/>
        </w:rPr>
        <w:t>13</w:t>
      </w:r>
      <w:r w:rsidR="006574C0" w:rsidRPr="006574C0">
        <w:rPr>
          <w:bCs/>
          <w:sz w:val="24"/>
          <w:szCs w:val="24"/>
          <w:lang w:eastAsia="zh-CN"/>
        </w:rPr>
        <w:t xml:space="preserve"> </w:t>
      </w:r>
      <w:r w:rsidR="00696821">
        <w:rPr>
          <w:bCs/>
          <w:sz w:val="24"/>
          <w:szCs w:val="24"/>
          <w:lang w:eastAsia="zh-CN"/>
        </w:rPr>
        <w:t>November</w:t>
      </w:r>
      <w:r w:rsidR="006574C0" w:rsidRPr="006574C0">
        <w:rPr>
          <w:bCs/>
          <w:sz w:val="24"/>
          <w:szCs w:val="24"/>
          <w:lang w:eastAsia="zh-CN"/>
        </w:rPr>
        <w:t xml:space="preserve"> 20</w:t>
      </w:r>
      <w:r w:rsidR="009376CD">
        <w:rPr>
          <w:bCs/>
          <w:sz w:val="24"/>
          <w:szCs w:val="24"/>
          <w:lang w:eastAsia="zh-CN"/>
        </w:rPr>
        <w:t>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66B3DC25" w:rsidR="00A209D6" w:rsidRPr="00B266B0" w:rsidRDefault="00A209D6" w:rsidP="00A209D6">
      <w:pPr>
        <w:pStyle w:val="Header"/>
        <w:rPr>
          <w:bCs/>
          <w:noProof w:val="0"/>
          <w:sz w:val="24"/>
        </w:rPr>
      </w:pPr>
    </w:p>
    <w:p w14:paraId="74AEDB1B" w14:textId="3420A8B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56D6">
        <w:rPr>
          <w:rFonts w:cs="Arial"/>
          <w:b/>
          <w:bCs/>
          <w:sz w:val="24"/>
          <w:lang w:eastAsia="ja-JP"/>
        </w:rPr>
        <w:t>8</w:t>
      </w:r>
      <w:r w:rsidR="00B77E80">
        <w:rPr>
          <w:rFonts w:cs="Arial"/>
          <w:b/>
          <w:bCs/>
          <w:sz w:val="24"/>
          <w:lang w:eastAsia="ja-JP"/>
        </w:rPr>
        <w:t>.1</w:t>
      </w:r>
      <w:r w:rsidR="00BD56D6">
        <w:rPr>
          <w:rFonts w:cs="Arial"/>
          <w:b/>
          <w:bCs/>
          <w:sz w:val="24"/>
          <w:lang w:eastAsia="ja-JP"/>
        </w:rPr>
        <w:t>0</w:t>
      </w:r>
      <w:r w:rsidR="00B77E80">
        <w:rPr>
          <w:rFonts w:cs="Arial"/>
          <w:b/>
          <w:bCs/>
          <w:sz w:val="24"/>
          <w:lang w:eastAsia="ja-JP"/>
        </w:rPr>
        <w:t>.</w:t>
      </w:r>
      <w:r w:rsidR="00BD56D6">
        <w:rPr>
          <w:rFonts w:cs="Arial"/>
          <w:b/>
          <w:bCs/>
          <w:sz w:val="24"/>
          <w:lang w:eastAsia="ja-JP"/>
        </w:rPr>
        <w:t>2.</w:t>
      </w:r>
      <w:r w:rsidR="00DE54A3">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833F47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6D5C" w:rsidRPr="00736D5C">
        <w:rPr>
          <w:rFonts w:ascii="Arial" w:hAnsi="Arial" w:cs="Arial"/>
          <w:b/>
          <w:bCs/>
          <w:sz w:val="24"/>
        </w:rPr>
        <w:t>NTN timers</w:t>
      </w:r>
      <w:r w:rsidR="00280141">
        <w:rPr>
          <w:rFonts w:ascii="Arial" w:hAnsi="Arial" w:cs="Arial"/>
          <w:b/>
          <w:bCs/>
          <w:sz w:val="24"/>
        </w:rPr>
        <w:t xml:space="preserve"> and </w:t>
      </w:r>
      <w:r w:rsidR="00E13014">
        <w:rPr>
          <w:rFonts w:ascii="Arial" w:hAnsi="Arial" w:cs="Arial"/>
          <w:b/>
          <w:bCs/>
          <w:sz w:val="24"/>
        </w:rPr>
        <w:t>C</w:t>
      </w:r>
      <w:r w:rsidR="00280141">
        <w:rPr>
          <w:rFonts w:ascii="Arial" w:hAnsi="Arial" w:cs="Arial"/>
          <w:b/>
          <w:bCs/>
          <w:sz w:val="24"/>
        </w:rPr>
        <w:t xml:space="preserve">ommon </w:t>
      </w:r>
      <w:r w:rsidR="00E13014">
        <w:rPr>
          <w:rFonts w:ascii="Arial" w:hAnsi="Arial" w:cs="Arial"/>
          <w:b/>
          <w:bCs/>
          <w:sz w:val="24"/>
        </w:rPr>
        <w:t>D</w:t>
      </w:r>
      <w:r w:rsidR="00280141">
        <w:rPr>
          <w:rFonts w:ascii="Arial" w:hAnsi="Arial" w:cs="Arial"/>
          <w:b/>
          <w:bCs/>
          <w:sz w:val="24"/>
        </w:rPr>
        <w:t>elay</w:t>
      </w:r>
      <w:r w:rsidR="00736D5C" w:rsidRPr="00736D5C">
        <w:rPr>
          <w:rFonts w:ascii="Arial" w:hAnsi="Arial" w:cs="Arial"/>
          <w:b/>
          <w:bCs/>
          <w:sz w:val="24"/>
        </w:rPr>
        <w:t xml:space="preserve"> update in moving satellite scenario</w:t>
      </w:r>
    </w:p>
    <w:p w14:paraId="1F147C23" w14:textId="3C6ACEC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36D5C" w:rsidRPr="00736D5C">
        <w:rPr>
          <w:rFonts w:ascii="Arial" w:hAnsi="Arial" w:cs="Arial"/>
          <w:b/>
          <w:bCs/>
          <w:sz w:val="24"/>
        </w:rPr>
        <w:t>NR_NTN_solutions</w:t>
      </w:r>
      <w:proofErr w:type="spellEnd"/>
      <w:r w:rsidR="00736D5C" w:rsidRPr="00736D5C">
        <w:rPr>
          <w:rFonts w:ascii="Arial" w:hAnsi="Arial" w:cs="Arial"/>
          <w:b/>
          <w:bCs/>
          <w:sz w:val="24"/>
        </w:rPr>
        <w:t>-Core</w:t>
      </w:r>
      <w:r w:rsidR="00B77E80" w:rsidRPr="00112F1A">
        <w:rPr>
          <w:rFonts w:ascii="Arial" w:hAnsi="Arial" w:cs="Arial"/>
          <w:b/>
          <w:bCs/>
          <w:sz w:val="24"/>
        </w:rPr>
        <w:t xml:space="preserve"> </w:t>
      </w:r>
      <w:r w:rsidR="00B77E8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5E170F5F" w:rsidR="00A209D6" w:rsidRDefault="001A0434" w:rsidP="00A209D6">
      <w:r w:rsidRPr="001A0434">
        <w:t xml:space="preserve">In NTN, while the </w:t>
      </w:r>
      <w:r w:rsidR="007D5733" w:rsidRPr="001A0434">
        <w:t>satellites (</w:t>
      </w:r>
      <w:r w:rsidRPr="001A0434">
        <w:t>e.g. LEO) are moving along the orbit, the round</w:t>
      </w:r>
      <w:r w:rsidR="00280141">
        <w:t>-</w:t>
      </w:r>
      <w:r w:rsidRPr="001A0434">
        <w:t xml:space="preserve">trip </w:t>
      </w:r>
      <w:r w:rsidR="007D5733" w:rsidRPr="001A0434">
        <w:t>delay</w:t>
      </w:r>
      <w:r w:rsidR="007D5733">
        <w:t xml:space="preserve"> (</w:t>
      </w:r>
      <w:r w:rsidR="00280141">
        <w:t>RTD)</w:t>
      </w:r>
      <w:r w:rsidRPr="001A0434">
        <w:t xml:space="preserve"> from UE to </w:t>
      </w:r>
      <w:proofErr w:type="spellStart"/>
      <w:r w:rsidRPr="001A0434">
        <w:t>gNB</w:t>
      </w:r>
      <w:proofErr w:type="spellEnd"/>
      <w:r w:rsidRPr="001A0434">
        <w:t xml:space="preserve"> will change a lot because </w:t>
      </w:r>
      <w:r w:rsidR="00DA149C">
        <w:t xml:space="preserve">of </w:t>
      </w:r>
      <w:r w:rsidRPr="001A0434">
        <w:t xml:space="preserve">the distance variation, especially using a transparent LEO satellite </w:t>
      </w:r>
      <w:r>
        <w:t>where</w:t>
      </w:r>
      <w:r w:rsidRPr="001A0434">
        <w:t xml:space="preserve"> both the service link delay and feeder link delay are impacted by moving satellites.</w:t>
      </w:r>
      <w:bookmarkStart w:id="0" w:name="_GoBack"/>
      <w:bookmarkEnd w:id="0"/>
    </w:p>
    <w:p w14:paraId="704A346A" w14:textId="06ABBA2E" w:rsidR="00A210A1" w:rsidRDefault="001A0434" w:rsidP="00A210A1">
      <w:r>
        <w:t xml:space="preserve">In NTN SI, </w:t>
      </w:r>
      <w:r w:rsidR="00350F8D">
        <w:t xml:space="preserve">many PHY/MAC/RLC/PDCP </w:t>
      </w:r>
      <w:r>
        <w:t xml:space="preserve">timers are </w:t>
      </w:r>
      <w:r w:rsidR="00350F8D">
        <w:t>supposed</w:t>
      </w:r>
      <w:r>
        <w:t xml:space="preserve"> to be adjusted to accommodate </w:t>
      </w:r>
      <w:r w:rsidR="00527295" w:rsidRPr="00527295">
        <w:t>the large propagation delay resulting from extension of NR to a non-terrestrial environment</w:t>
      </w:r>
      <w:r w:rsidR="00527295">
        <w:t xml:space="preserve">. </w:t>
      </w:r>
      <w:r w:rsidR="00D41286">
        <w:t>H</w:t>
      </w:r>
      <w:r w:rsidR="00527295">
        <w:t xml:space="preserve">ow </w:t>
      </w:r>
      <w:r w:rsidR="00D41286">
        <w:t xml:space="preserve">to update the timer should be studied </w:t>
      </w:r>
      <w:r w:rsidR="00350F8D">
        <w:t>when</w:t>
      </w:r>
      <w:r w:rsidR="00527295">
        <w:t xml:space="preserve"> the </w:t>
      </w:r>
      <w:r w:rsidR="00350F8D">
        <w:t>RTD</w:t>
      </w:r>
      <w:r w:rsidR="00527295" w:rsidRPr="00823EB3">
        <w:t xml:space="preserve"> </w:t>
      </w:r>
      <w:r w:rsidR="00452A0F">
        <w:t xml:space="preserve">changes </w:t>
      </w:r>
      <w:r w:rsidR="00B11FC6">
        <w:t xml:space="preserve">which is </w:t>
      </w:r>
      <w:r w:rsidR="00452A0F">
        <w:t>caused by</w:t>
      </w:r>
      <w:r w:rsidR="00527295">
        <w:t xml:space="preserve"> satellites moving. </w:t>
      </w:r>
      <w:r w:rsidR="00A210A1">
        <w:t xml:space="preserve">Additionally, to obtain full RTD from UE to </w:t>
      </w:r>
      <w:proofErr w:type="spellStart"/>
      <w:r w:rsidR="00A210A1">
        <w:t>gNB</w:t>
      </w:r>
      <w:proofErr w:type="spellEnd"/>
      <w:r w:rsidR="00777664">
        <w:t xml:space="preserve"> for UE timing pre-compensation</w:t>
      </w:r>
      <w:r w:rsidR="00A210A1">
        <w:t xml:space="preserve">, one proposed solution is that </w:t>
      </w:r>
      <w:proofErr w:type="spellStart"/>
      <w:r w:rsidR="00A210A1">
        <w:t>gNB</w:t>
      </w:r>
      <w:proofErr w:type="spellEnd"/>
      <w:r w:rsidR="00A210A1">
        <w:t xml:space="preserve"> broadcast common delay to UE (e.g. broadcast delay</w:t>
      </w:r>
      <w:r w:rsidR="00582807">
        <w:t xml:space="preserve"> from </w:t>
      </w:r>
      <w:proofErr w:type="spellStart"/>
      <w:r w:rsidR="00582807">
        <w:t>gNB</w:t>
      </w:r>
      <w:proofErr w:type="spellEnd"/>
      <w:r w:rsidR="00582807">
        <w:t xml:space="preserve"> to satellite</w:t>
      </w:r>
      <w:r w:rsidR="00A210A1">
        <w:t xml:space="preserve"> via SI messages), </w:t>
      </w:r>
      <w:r w:rsidR="00A210A1" w:rsidRPr="005C21F7">
        <w:t xml:space="preserve">the frequent common </w:t>
      </w:r>
      <w:r w:rsidR="00A210A1">
        <w:t>delay</w:t>
      </w:r>
      <w:r w:rsidR="00A210A1" w:rsidRPr="005C21F7">
        <w:t xml:space="preserve"> changes with the moving of satellite </w:t>
      </w:r>
      <w:r w:rsidR="00A210A1">
        <w:t>may</w:t>
      </w:r>
      <w:r w:rsidR="00A210A1" w:rsidRPr="005C21F7">
        <w:t xml:space="preserve"> cause the SI change to happen frequently </w:t>
      </w:r>
      <w:r w:rsidR="00A210A1">
        <w:t>accordingly</w:t>
      </w:r>
      <w:r w:rsidR="00A210A1" w:rsidRPr="005C21F7">
        <w:t>.</w:t>
      </w:r>
    </w:p>
    <w:p w14:paraId="5454F7F2" w14:textId="6C244531" w:rsidR="001A0434" w:rsidRDefault="001A0434" w:rsidP="00A209D6">
      <w:r>
        <w:t xml:space="preserve">In this paper, we discuss the delay variations impact to </w:t>
      </w:r>
      <w:r w:rsidR="00B11FC6">
        <w:t>NTN timers update</w:t>
      </w:r>
      <w:r w:rsidR="00554E7F">
        <w:t xml:space="preserve"> and</w:t>
      </w:r>
      <w:r w:rsidR="00536069">
        <w:t xml:space="preserve"> c</w:t>
      </w:r>
      <w:r w:rsidR="00B11FC6">
        <w:t>ommon delay update</w:t>
      </w:r>
      <w:r w:rsidR="00536069">
        <w:t>.</w:t>
      </w:r>
    </w:p>
    <w:p w14:paraId="766D6D29" w14:textId="27570183" w:rsidR="00A209D6" w:rsidRPr="006E13D1" w:rsidRDefault="00931CDF" w:rsidP="00A209D6">
      <w:pPr>
        <w:pStyle w:val="Heading1"/>
      </w:pPr>
      <w:r>
        <w:t>2</w:t>
      </w:r>
      <w:r w:rsidR="00A209D6" w:rsidRPr="006E13D1">
        <w:tab/>
      </w:r>
      <w:r>
        <w:t>Discussion</w:t>
      </w:r>
    </w:p>
    <w:p w14:paraId="5F01C058" w14:textId="3DC77683" w:rsidR="00A209D6" w:rsidRPr="006E13D1" w:rsidRDefault="00931CDF" w:rsidP="00A209D6">
      <w:pPr>
        <w:pStyle w:val="Heading2"/>
      </w:pPr>
      <w:r>
        <w:t>2</w:t>
      </w:r>
      <w:r w:rsidR="00A209D6" w:rsidRPr="006E13D1">
        <w:t>.1</w:t>
      </w:r>
      <w:r w:rsidR="00A209D6" w:rsidRPr="006E13D1">
        <w:tab/>
      </w:r>
      <w:r w:rsidR="003C6591">
        <w:t>Delay variations caused by satellite</w:t>
      </w:r>
      <w:r w:rsidR="003C6591" w:rsidRPr="003C6591">
        <w:t xml:space="preserve"> </w:t>
      </w:r>
      <w:r w:rsidR="003C6591">
        <w:t>moving</w:t>
      </w:r>
    </w:p>
    <w:p w14:paraId="4D39B8B5" w14:textId="72C429A0" w:rsidR="007A71E9" w:rsidRPr="00874E20" w:rsidRDefault="007A71E9" w:rsidP="007A71E9">
      <w:pPr>
        <w:rPr>
          <w:lang w:val="en-US"/>
        </w:rPr>
      </w:pPr>
      <w:r>
        <w:rPr>
          <w:lang w:val="en-US"/>
        </w:rPr>
        <w:t xml:space="preserve">In LEO scenarios, the longer and varying RTD delays (e.g. from </w:t>
      </w:r>
      <w:proofErr w:type="spellStart"/>
      <w:r>
        <w:rPr>
          <w:lang w:val="en-US"/>
        </w:rPr>
        <w:t>gNB</w:t>
      </w:r>
      <w:proofErr w:type="spellEnd"/>
      <w:r>
        <w:rPr>
          <w:lang w:val="en-US"/>
        </w:rPr>
        <w:t xml:space="preserve"> to UE) of NTN depend heavily on the deployment scenario; i.e. earth-fixed or earth-moving cell, satellite altitude, satellite constellation, feeder link.</w:t>
      </w:r>
      <w:r w:rsidR="00933495">
        <w:rPr>
          <w:lang w:val="en-US"/>
        </w:rPr>
        <w:t xml:space="preserve"> </w:t>
      </w:r>
      <w:r>
        <w:rPr>
          <w:lang w:val="en-US"/>
        </w:rPr>
        <w:t xml:space="preserve">As an example, </w:t>
      </w:r>
      <w:r>
        <w:rPr>
          <w:lang w:val="en-US"/>
        </w:rPr>
        <w:fldChar w:fldCharType="begin"/>
      </w:r>
      <w:r>
        <w:rPr>
          <w:lang w:val="en-US"/>
        </w:rPr>
        <w:instrText xml:space="preserve"> REF _Ref46747479 \h </w:instrText>
      </w:r>
      <w:r>
        <w:rPr>
          <w:lang w:val="en-US"/>
        </w:rPr>
      </w:r>
      <w:r>
        <w:rPr>
          <w:lang w:val="en-US"/>
        </w:rPr>
        <w:fldChar w:fldCharType="separate"/>
      </w:r>
      <w:r>
        <w:t xml:space="preserve">Figure </w:t>
      </w:r>
      <w:r>
        <w:rPr>
          <w:lang w:val="en-US"/>
        </w:rPr>
        <w:fldChar w:fldCharType="end"/>
      </w:r>
      <w:r>
        <w:rPr>
          <w:lang w:val="en-US"/>
        </w:rPr>
        <w:t>1 provides the propagation delay for a few earth-fixed cell scenarios using a transparent LEO satellite. The first line (</w:t>
      </w:r>
      <w:r w:rsidRPr="00874E20">
        <w:rPr>
          <w:i/>
          <w:iCs/>
          <w:lang w:val="en-US"/>
        </w:rPr>
        <w:t>LEO-600 service link</w:t>
      </w:r>
      <w:r>
        <w:rPr>
          <w:lang w:val="en-US"/>
        </w:rPr>
        <w:t xml:space="preserve">) defines the service link delay for an earth-fixed cell with </w:t>
      </w:r>
      <w:r w:rsidR="001A2241">
        <w:rPr>
          <w:lang w:val="en-US"/>
        </w:rPr>
        <w:t xml:space="preserve">assumption UE in a </w:t>
      </w:r>
      <w:r>
        <w:rPr>
          <w:lang w:val="en-US"/>
        </w:rPr>
        <w:t xml:space="preserve">reference point at nadir and a satellite at 600 km altitude moving from a 30 degrees elevation angle on one side to 30 degrees elevation angle at the opposite side. The </w:t>
      </w:r>
      <w:r w:rsidRPr="00874E20">
        <w:rPr>
          <w:i/>
          <w:iCs/>
          <w:lang w:val="en-US"/>
        </w:rPr>
        <w:t>LEO-600 feeder link case 1</w:t>
      </w:r>
      <w:r>
        <w:rPr>
          <w:lang w:val="en-US"/>
        </w:rPr>
        <w:t xml:space="preserve"> assumes the NTN gateway is at the exact same location, resulting the total delay illustrated with </w:t>
      </w:r>
      <w:r>
        <w:rPr>
          <w:i/>
          <w:iCs/>
          <w:lang w:val="en-US"/>
        </w:rPr>
        <w:t>LEO-600 total case 1</w:t>
      </w:r>
      <w:r>
        <w:rPr>
          <w:lang w:val="en-US"/>
        </w:rPr>
        <w:t>. A second feeder link case (</w:t>
      </w:r>
      <w:r>
        <w:rPr>
          <w:i/>
          <w:iCs/>
          <w:lang w:val="en-US"/>
        </w:rPr>
        <w:t>LEO-600 feeder link case 2)</w:t>
      </w:r>
      <w:r>
        <w:rPr>
          <w:lang w:val="en-US"/>
        </w:rPr>
        <w:t xml:space="preserve">, is defined for a scenario where the NTN gateway is on the path of the satellite’s orbit, but 1200 km away. Furthermore, it is assumed the satellite at 600 km altitude is moving away from the gateway. The resulting total delay is given by </w:t>
      </w:r>
      <w:r>
        <w:rPr>
          <w:i/>
          <w:iCs/>
          <w:lang w:val="en-US"/>
        </w:rPr>
        <w:t>LEO-600 case 2 total</w:t>
      </w:r>
      <w:r>
        <w:rPr>
          <w:lang w:val="en-US"/>
        </w:rPr>
        <w:t xml:space="preserve">. Finally, </w:t>
      </w:r>
      <w:r>
        <w:rPr>
          <w:i/>
          <w:iCs/>
          <w:lang w:val="en-US"/>
        </w:rPr>
        <w:t>LEO-1500 total case 1</w:t>
      </w:r>
      <w:r>
        <w:rPr>
          <w:lang w:val="en-US"/>
        </w:rPr>
        <w:t xml:space="preserve">, replicates the scenario of case 1, but using 1500 km altitude. Based on these examples it can be observed how the propagation delay varies significantly over time. </w:t>
      </w:r>
    </w:p>
    <w:p w14:paraId="7B423952" w14:textId="77777777" w:rsidR="00D476F3" w:rsidRDefault="007A71E9" w:rsidP="00D476F3">
      <w:pPr>
        <w:keepNext/>
        <w:jc w:val="center"/>
      </w:pPr>
      <w:r>
        <w:rPr>
          <w:noProof/>
        </w:rPr>
        <w:lastRenderedPageBreak/>
        <w:drawing>
          <wp:inline distT="0" distB="0" distL="0" distR="0" wp14:anchorId="6C2820CD" wp14:editId="5F0E1F63">
            <wp:extent cx="4183039" cy="2822824"/>
            <wp:effectExtent l="0" t="0" r="8255" b="0"/>
            <wp:docPr id="5131812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4183039" cy="2822824"/>
                    </a:xfrm>
                    <a:prstGeom prst="rect">
                      <a:avLst/>
                    </a:prstGeom>
                  </pic:spPr>
                </pic:pic>
              </a:graphicData>
            </a:graphic>
          </wp:inline>
        </w:drawing>
      </w:r>
    </w:p>
    <w:p w14:paraId="326FA9A9" w14:textId="23CA4D32" w:rsidR="00D476F3" w:rsidRPr="00BD5596" w:rsidRDefault="00D476F3" w:rsidP="00666BC3">
      <w:pPr>
        <w:pStyle w:val="Caption"/>
        <w:jc w:val="center"/>
        <w:rPr>
          <w:i w:val="0"/>
          <w:iCs w:val="0"/>
          <w:color w:val="auto"/>
          <w:sz w:val="20"/>
          <w:szCs w:val="20"/>
          <w:lang w:val="en-US"/>
        </w:rPr>
      </w:pPr>
      <w:bookmarkStart w:id="1" w:name="_Ref53389133"/>
      <w:r w:rsidRPr="00BD5596">
        <w:rPr>
          <w:i w:val="0"/>
          <w:iCs w:val="0"/>
          <w:color w:val="auto"/>
          <w:sz w:val="20"/>
          <w:szCs w:val="20"/>
          <w:lang w:val="en-US"/>
        </w:rPr>
        <w:t>Figure</w:t>
      </w:r>
      <w:bookmarkEnd w:id="1"/>
      <w:r w:rsidR="00BD5596">
        <w:rPr>
          <w:i w:val="0"/>
          <w:iCs w:val="0"/>
          <w:color w:val="auto"/>
          <w:sz w:val="20"/>
          <w:szCs w:val="20"/>
          <w:lang w:val="en-US"/>
        </w:rPr>
        <w:t xml:space="preserve"> 1</w:t>
      </w:r>
      <w:r>
        <w:t xml:space="preserve"> </w:t>
      </w:r>
      <w:r w:rsidRPr="00BD5596">
        <w:rPr>
          <w:i w:val="0"/>
          <w:iCs w:val="0"/>
          <w:color w:val="auto"/>
          <w:sz w:val="20"/>
          <w:szCs w:val="20"/>
          <w:lang w:val="en-US"/>
        </w:rPr>
        <w:t>Examples of earth-fixed cell propagation delays</w:t>
      </w:r>
    </w:p>
    <w:p w14:paraId="7029BD97" w14:textId="6BA79FC8" w:rsidR="00852888" w:rsidRPr="00BD5596" w:rsidRDefault="00852888" w:rsidP="00852888">
      <w:pPr>
        <w:pStyle w:val="Caption"/>
        <w:keepNext/>
        <w:rPr>
          <w:i w:val="0"/>
          <w:iCs w:val="0"/>
          <w:color w:val="auto"/>
          <w:sz w:val="20"/>
          <w:szCs w:val="20"/>
          <w:lang w:val="en-US"/>
        </w:rPr>
      </w:pPr>
      <w:r w:rsidRPr="00BD5596">
        <w:rPr>
          <w:i w:val="0"/>
          <w:iCs w:val="0"/>
          <w:color w:val="auto"/>
          <w:sz w:val="20"/>
          <w:szCs w:val="20"/>
          <w:lang w:val="en-US"/>
        </w:rPr>
        <w:fldChar w:fldCharType="begin"/>
      </w:r>
      <w:r w:rsidRPr="00BD5596">
        <w:rPr>
          <w:i w:val="0"/>
          <w:iCs w:val="0"/>
          <w:color w:val="auto"/>
          <w:sz w:val="20"/>
          <w:szCs w:val="20"/>
          <w:lang w:val="en-US"/>
        </w:rPr>
        <w:instrText xml:space="preserve"> REF _Ref53386524 \h  \* MERGEFORMAT </w:instrText>
      </w:r>
      <w:r w:rsidRPr="00BD5596">
        <w:rPr>
          <w:i w:val="0"/>
          <w:iCs w:val="0"/>
          <w:color w:val="auto"/>
          <w:sz w:val="20"/>
          <w:szCs w:val="20"/>
          <w:lang w:val="en-US"/>
        </w:rPr>
      </w:r>
      <w:r w:rsidRPr="00BD5596">
        <w:rPr>
          <w:i w:val="0"/>
          <w:iCs w:val="0"/>
          <w:color w:val="auto"/>
          <w:sz w:val="20"/>
          <w:szCs w:val="20"/>
          <w:lang w:val="en-US"/>
        </w:rPr>
        <w:fldChar w:fldCharType="separate"/>
      </w:r>
      <w:r w:rsidRPr="00BD5596">
        <w:rPr>
          <w:i w:val="0"/>
          <w:iCs w:val="0"/>
          <w:color w:val="auto"/>
          <w:sz w:val="20"/>
          <w:szCs w:val="20"/>
          <w:lang w:val="en-US"/>
        </w:rPr>
        <w:t>Table 1</w:t>
      </w:r>
      <w:r w:rsidRPr="00BD5596">
        <w:rPr>
          <w:i w:val="0"/>
          <w:iCs w:val="0"/>
          <w:color w:val="auto"/>
          <w:sz w:val="20"/>
          <w:szCs w:val="20"/>
          <w:lang w:val="en-US"/>
        </w:rPr>
        <w:fldChar w:fldCharType="end"/>
      </w:r>
      <w:r w:rsidRPr="00BD5596">
        <w:rPr>
          <w:i w:val="0"/>
          <w:iCs w:val="0"/>
          <w:color w:val="auto"/>
          <w:sz w:val="20"/>
          <w:szCs w:val="20"/>
          <w:lang w:val="en-US"/>
        </w:rPr>
        <w:t xml:space="preserve"> provides an overview of the minimum and maximum propagation delay for each of the earth-fixed cell cases described above. The minimum propagation delay is at least half, and in some cases even ¼ - 2/5, of the maximum propagation delay. </w:t>
      </w:r>
    </w:p>
    <w:p w14:paraId="4168CEEC" w14:textId="5517AEC6" w:rsidR="00852888" w:rsidRPr="00BD5596" w:rsidRDefault="00852888" w:rsidP="00BD5596">
      <w:pPr>
        <w:pStyle w:val="Caption"/>
        <w:keepNext/>
        <w:jc w:val="center"/>
        <w:rPr>
          <w:i w:val="0"/>
          <w:iCs w:val="0"/>
          <w:color w:val="auto"/>
          <w:sz w:val="20"/>
          <w:szCs w:val="20"/>
          <w:lang w:val="en-US"/>
        </w:rPr>
      </w:pPr>
      <w:bookmarkStart w:id="2" w:name="_Ref53386524"/>
      <w:r w:rsidRPr="00BD5596">
        <w:rPr>
          <w:i w:val="0"/>
          <w:iCs w:val="0"/>
          <w:color w:val="auto"/>
          <w:sz w:val="20"/>
          <w:szCs w:val="20"/>
          <w:lang w:val="en-US"/>
        </w:rPr>
        <w:t xml:space="preserve">Table </w:t>
      </w:r>
      <w:r w:rsidRPr="00BD5596">
        <w:rPr>
          <w:i w:val="0"/>
          <w:iCs w:val="0"/>
          <w:color w:val="auto"/>
          <w:sz w:val="20"/>
          <w:szCs w:val="20"/>
          <w:lang w:val="en-US"/>
        </w:rPr>
        <w:fldChar w:fldCharType="begin"/>
      </w:r>
      <w:r w:rsidRPr="00BD5596">
        <w:rPr>
          <w:i w:val="0"/>
          <w:iCs w:val="0"/>
          <w:color w:val="auto"/>
          <w:sz w:val="20"/>
          <w:szCs w:val="20"/>
          <w:lang w:val="en-US"/>
        </w:rPr>
        <w:instrText xml:space="preserve"> SEQ Table \* ARABIC </w:instrText>
      </w:r>
      <w:r w:rsidRPr="00BD5596">
        <w:rPr>
          <w:i w:val="0"/>
          <w:iCs w:val="0"/>
          <w:color w:val="auto"/>
          <w:sz w:val="20"/>
          <w:szCs w:val="20"/>
          <w:lang w:val="en-US"/>
        </w:rPr>
        <w:fldChar w:fldCharType="separate"/>
      </w:r>
      <w:r w:rsidRPr="00BD5596">
        <w:rPr>
          <w:i w:val="0"/>
          <w:iCs w:val="0"/>
          <w:color w:val="auto"/>
          <w:sz w:val="20"/>
          <w:szCs w:val="20"/>
          <w:lang w:val="en-US"/>
        </w:rPr>
        <w:t>1</w:t>
      </w:r>
      <w:r w:rsidRPr="00BD5596">
        <w:rPr>
          <w:i w:val="0"/>
          <w:iCs w:val="0"/>
          <w:color w:val="auto"/>
          <w:sz w:val="20"/>
          <w:szCs w:val="20"/>
          <w:lang w:val="en-US"/>
        </w:rPr>
        <w:fldChar w:fldCharType="end"/>
      </w:r>
      <w:bookmarkEnd w:id="2"/>
      <w:r w:rsidRPr="00BD5596">
        <w:rPr>
          <w:i w:val="0"/>
          <w:iCs w:val="0"/>
          <w:color w:val="auto"/>
          <w:sz w:val="20"/>
          <w:szCs w:val="20"/>
          <w:lang w:val="en-US"/>
        </w:rPr>
        <w:t xml:space="preserve"> Examples of earth-fixed cell propagation delays</w:t>
      </w:r>
    </w:p>
    <w:tbl>
      <w:tblPr>
        <w:tblStyle w:val="TableGrid"/>
        <w:tblW w:w="0" w:type="auto"/>
        <w:jc w:val="center"/>
        <w:tblLook w:val="04A0" w:firstRow="1" w:lastRow="0" w:firstColumn="1" w:lastColumn="0" w:noHBand="0" w:noVBand="1"/>
      </w:tblPr>
      <w:tblGrid>
        <w:gridCol w:w="2527"/>
        <w:gridCol w:w="3200"/>
        <w:gridCol w:w="3233"/>
      </w:tblGrid>
      <w:tr w:rsidR="00F004CD" w14:paraId="3C086E7F" w14:textId="77777777" w:rsidTr="00360FE3">
        <w:trPr>
          <w:jc w:val="center"/>
        </w:trPr>
        <w:tc>
          <w:tcPr>
            <w:tcW w:w="2527" w:type="dxa"/>
          </w:tcPr>
          <w:p w14:paraId="3214A27C" w14:textId="779DE934" w:rsidR="00F004CD" w:rsidRPr="00360FE3" w:rsidRDefault="00F004CD" w:rsidP="00A209D6">
            <w:pPr>
              <w:rPr>
                <w:b/>
                <w:bCs/>
                <w:lang w:val="en-US"/>
              </w:rPr>
            </w:pPr>
            <w:r w:rsidRPr="00360FE3">
              <w:rPr>
                <w:b/>
                <w:bCs/>
                <w:lang w:val="en-US"/>
              </w:rPr>
              <w:t>Scenario</w:t>
            </w:r>
          </w:p>
        </w:tc>
        <w:tc>
          <w:tcPr>
            <w:tcW w:w="3200" w:type="dxa"/>
          </w:tcPr>
          <w:p w14:paraId="5CAA2A77" w14:textId="17BC68B1" w:rsidR="00F004CD" w:rsidRPr="00360FE3" w:rsidRDefault="00852888" w:rsidP="00A209D6">
            <w:pPr>
              <w:rPr>
                <w:b/>
                <w:bCs/>
                <w:lang w:val="en-US"/>
              </w:rPr>
            </w:pPr>
            <w:r w:rsidRPr="00360FE3">
              <w:rPr>
                <w:b/>
                <w:bCs/>
                <w:lang w:val="en-US"/>
              </w:rPr>
              <w:t>Minimum propagation delay [</w:t>
            </w:r>
            <w:proofErr w:type="spellStart"/>
            <w:r w:rsidRPr="00360FE3">
              <w:rPr>
                <w:b/>
                <w:bCs/>
                <w:lang w:val="en-US"/>
              </w:rPr>
              <w:t>ms</w:t>
            </w:r>
            <w:proofErr w:type="spellEnd"/>
            <w:r w:rsidRPr="00360FE3">
              <w:rPr>
                <w:b/>
                <w:bCs/>
                <w:lang w:val="en-US"/>
              </w:rPr>
              <w:t>]</w:t>
            </w:r>
          </w:p>
        </w:tc>
        <w:tc>
          <w:tcPr>
            <w:tcW w:w="3233" w:type="dxa"/>
          </w:tcPr>
          <w:p w14:paraId="072BF2A6" w14:textId="5CD01AE8" w:rsidR="00F004CD" w:rsidRPr="00360FE3" w:rsidRDefault="00852888" w:rsidP="00A209D6">
            <w:pPr>
              <w:rPr>
                <w:b/>
                <w:bCs/>
                <w:lang w:val="en-US"/>
              </w:rPr>
            </w:pPr>
            <w:r w:rsidRPr="00360FE3">
              <w:rPr>
                <w:b/>
                <w:bCs/>
                <w:lang w:val="en-US"/>
              </w:rPr>
              <w:t>Maximum propagation delay [</w:t>
            </w:r>
            <w:proofErr w:type="spellStart"/>
            <w:r w:rsidRPr="00360FE3">
              <w:rPr>
                <w:b/>
                <w:bCs/>
                <w:lang w:val="en-US"/>
              </w:rPr>
              <w:t>ms</w:t>
            </w:r>
            <w:proofErr w:type="spellEnd"/>
            <w:r w:rsidRPr="00360FE3">
              <w:rPr>
                <w:b/>
                <w:bCs/>
                <w:lang w:val="en-US"/>
              </w:rPr>
              <w:t>]</w:t>
            </w:r>
          </w:p>
        </w:tc>
      </w:tr>
      <w:tr w:rsidR="00F004CD" w14:paraId="22B2D7B5" w14:textId="77777777" w:rsidTr="00360FE3">
        <w:trPr>
          <w:jc w:val="center"/>
        </w:trPr>
        <w:tc>
          <w:tcPr>
            <w:tcW w:w="2527" w:type="dxa"/>
          </w:tcPr>
          <w:p w14:paraId="2A83CDB6" w14:textId="72C41CC0" w:rsidR="00F004CD" w:rsidRDefault="00F004CD" w:rsidP="00A209D6">
            <w:pPr>
              <w:rPr>
                <w:lang w:val="en-US"/>
              </w:rPr>
            </w:pPr>
            <w:r>
              <w:rPr>
                <w:lang w:val="en-US"/>
              </w:rPr>
              <w:t>LEO-600 service link</w:t>
            </w:r>
          </w:p>
        </w:tc>
        <w:tc>
          <w:tcPr>
            <w:tcW w:w="3200" w:type="dxa"/>
          </w:tcPr>
          <w:p w14:paraId="1D779536" w14:textId="5068814B" w:rsidR="00F004CD" w:rsidRDefault="00852888" w:rsidP="00360FE3">
            <w:pPr>
              <w:jc w:val="center"/>
              <w:rPr>
                <w:lang w:val="en-US"/>
              </w:rPr>
            </w:pPr>
            <w:r>
              <w:rPr>
                <w:lang w:val="en-US"/>
              </w:rPr>
              <w:t>4.0</w:t>
            </w:r>
          </w:p>
        </w:tc>
        <w:tc>
          <w:tcPr>
            <w:tcW w:w="3233" w:type="dxa"/>
          </w:tcPr>
          <w:p w14:paraId="0FA40725" w14:textId="11B23D11" w:rsidR="00F004CD" w:rsidRDefault="00852888" w:rsidP="00360FE3">
            <w:pPr>
              <w:jc w:val="center"/>
              <w:rPr>
                <w:lang w:val="en-US"/>
              </w:rPr>
            </w:pPr>
            <w:r>
              <w:rPr>
                <w:lang w:val="en-US"/>
              </w:rPr>
              <w:t>8.0</w:t>
            </w:r>
          </w:p>
        </w:tc>
      </w:tr>
      <w:tr w:rsidR="00F004CD" w14:paraId="62038072" w14:textId="77777777" w:rsidTr="00360FE3">
        <w:trPr>
          <w:jc w:val="center"/>
        </w:trPr>
        <w:tc>
          <w:tcPr>
            <w:tcW w:w="2527" w:type="dxa"/>
          </w:tcPr>
          <w:p w14:paraId="4209F63F" w14:textId="4EE1F3BD" w:rsidR="00F004CD" w:rsidRDefault="00F004CD" w:rsidP="00A209D6">
            <w:pPr>
              <w:rPr>
                <w:lang w:val="en-US"/>
              </w:rPr>
            </w:pPr>
            <w:r>
              <w:rPr>
                <w:lang w:val="en-US"/>
              </w:rPr>
              <w:t>LEO-600 feeder link</w:t>
            </w:r>
            <w:r w:rsidR="00852888">
              <w:rPr>
                <w:lang w:val="en-US"/>
              </w:rPr>
              <w:t xml:space="preserve"> case 1</w:t>
            </w:r>
          </w:p>
        </w:tc>
        <w:tc>
          <w:tcPr>
            <w:tcW w:w="3200" w:type="dxa"/>
          </w:tcPr>
          <w:p w14:paraId="1338B145" w14:textId="1F528429" w:rsidR="00F004CD" w:rsidRDefault="00852888" w:rsidP="00360FE3">
            <w:pPr>
              <w:jc w:val="center"/>
              <w:rPr>
                <w:lang w:val="en-US"/>
              </w:rPr>
            </w:pPr>
            <w:r>
              <w:rPr>
                <w:lang w:val="en-US"/>
              </w:rPr>
              <w:t>4.0</w:t>
            </w:r>
          </w:p>
        </w:tc>
        <w:tc>
          <w:tcPr>
            <w:tcW w:w="3233" w:type="dxa"/>
          </w:tcPr>
          <w:p w14:paraId="00F56A81" w14:textId="283B76A7" w:rsidR="00F004CD" w:rsidRDefault="00852888" w:rsidP="00360FE3">
            <w:pPr>
              <w:jc w:val="center"/>
              <w:rPr>
                <w:lang w:val="en-US"/>
              </w:rPr>
            </w:pPr>
            <w:r>
              <w:rPr>
                <w:lang w:val="en-US"/>
              </w:rPr>
              <w:t>8.0</w:t>
            </w:r>
          </w:p>
        </w:tc>
      </w:tr>
      <w:tr w:rsidR="00F004CD" w14:paraId="2D677D5E" w14:textId="77777777" w:rsidTr="00360FE3">
        <w:trPr>
          <w:jc w:val="center"/>
        </w:trPr>
        <w:tc>
          <w:tcPr>
            <w:tcW w:w="2527" w:type="dxa"/>
          </w:tcPr>
          <w:p w14:paraId="3B638E5A" w14:textId="0AA24E73" w:rsidR="00F004CD" w:rsidRDefault="00F004CD" w:rsidP="00A209D6">
            <w:pPr>
              <w:rPr>
                <w:lang w:val="en-US"/>
              </w:rPr>
            </w:pPr>
            <w:r>
              <w:rPr>
                <w:lang w:val="en-US"/>
              </w:rPr>
              <w:t>LEO-600 total case 1</w:t>
            </w:r>
          </w:p>
        </w:tc>
        <w:tc>
          <w:tcPr>
            <w:tcW w:w="3200" w:type="dxa"/>
          </w:tcPr>
          <w:p w14:paraId="7558D813" w14:textId="21F46EC1" w:rsidR="00F004CD" w:rsidRDefault="00852888" w:rsidP="00360FE3">
            <w:pPr>
              <w:jc w:val="center"/>
              <w:rPr>
                <w:lang w:val="en-US"/>
              </w:rPr>
            </w:pPr>
            <w:r>
              <w:rPr>
                <w:lang w:val="en-US"/>
              </w:rPr>
              <w:t>8.0</w:t>
            </w:r>
          </w:p>
        </w:tc>
        <w:tc>
          <w:tcPr>
            <w:tcW w:w="3233" w:type="dxa"/>
          </w:tcPr>
          <w:p w14:paraId="6C6658BF" w14:textId="0E033243" w:rsidR="00F004CD" w:rsidRDefault="00852888" w:rsidP="00360FE3">
            <w:pPr>
              <w:jc w:val="center"/>
              <w:rPr>
                <w:lang w:val="en-US"/>
              </w:rPr>
            </w:pPr>
            <w:r>
              <w:rPr>
                <w:lang w:val="en-US"/>
              </w:rPr>
              <w:t>16.0</w:t>
            </w:r>
          </w:p>
        </w:tc>
      </w:tr>
      <w:tr w:rsidR="00F004CD" w14:paraId="39AAAF08" w14:textId="77777777" w:rsidTr="00360FE3">
        <w:trPr>
          <w:jc w:val="center"/>
        </w:trPr>
        <w:tc>
          <w:tcPr>
            <w:tcW w:w="2527" w:type="dxa"/>
          </w:tcPr>
          <w:p w14:paraId="76413ADD" w14:textId="5654A03E" w:rsidR="00F004CD" w:rsidRDefault="00852888" w:rsidP="00A209D6">
            <w:pPr>
              <w:rPr>
                <w:lang w:val="en-US"/>
              </w:rPr>
            </w:pPr>
            <w:r>
              <w:rPr>
                <w:lang w:val="en-US"/>
              </w:rPr>
              <w:t>LEO-600 feeder link case 2</w:t>
            </w:r>
          </w:p>
        </w:tc>
        <w:tc>
          <w:tcPr>
            <w:tcW w:w="3200" w:type="dxa"/>
          </w:tcPr>
          <w:p w14:paraId="3F7C2792" w14:textId="34F1B0B3" w:rsidR="00F004CD" w:rsidRDefault="00852888" w:rsidP="00360FE3">
            <w:pPr>
              <w:jc w:val="center"/>
              <w:rPr>
                <w:lang w:val="en-US"/>
              </w:rPr>
            </w:pPr>
            <w:r>
              <w:rPr>
                <w:lang w:val="en-US"/>
              </w:rPr>
              <w:t>4.0</w:t>
            </w:r>
          </w:p>
        </w:tc>
        <w:tc>
          <w:tcPr>
            <w:tcW w:w="3233" w:type="dxa"/>
          </w:tcPr>
          <w:p w14:paraId="1906EC79" w14:textId="56D66E26" w:rsidR="00F004CD" w:rsidRDefault="00852888" w:rsidP="00360FE3">
            <w:pPr>
              <w:jc w:val="center"/>
              <w:rPr>
                <w:lang w:val="en-US"/>
              </w:rPr>
            </w:pPr>
            <w:r>
              <w:rPr>
                <w:lang w:val="en-US"/>
              </w:rPr>
              <w:t>15.5</w:t>
            </w:r>
          </w:p>
        </w:tc>
      </w:tr>
      <w:tr w:rsidR="00F004CD" w14:paraId="5CA50212" w14:textId="77777777" w:rsidTr="00360FE3">
        <w:trPr>
          <w:jc w:val="center"/>
        </w:trPr>
        <w:tc>
          <w:tcPr>
            <w:tcW w:w="2527" w:type="dxa"/>
          </w:tcPr>
          <w:p w14:paraId="64098DE9" w14:textId="2478F352" w:rsidR="00F004CD" w:rsidRDefault="00852888" w:rsidP="00A209D6">
            <w:pPr>
              <w:rPr>
                <w:lang w:val="en-US"/>
              </w:rPr>
            </w:pPr>
            <w:r>
              <w:rPr>
                <w:lang w:val="en-US"/>
              </w:rPr>
              <w:t>LEO-600 total case 2</w:t>
            </w:r>
          </w:p>
        </w:tc>
        <w:tc>
          <w:tcPr>
            <w:tcW w:w="3200" w:type="dxa"/>
          </w:tcPr>
          <w:p w14:paraId="5D9612D6" w14:textId="021DAF93" w:rsidR="00F004CD" w:rsidRDefault="00852888" w:rsidP="00360FE3">
            <w:pPr>
              <w:jc w:val="center"/>
              <w:rPr>
                <w:lang w:val="en-US"/>
              </w:rPr>
            </w:pPr>
            <w:r>
              <w:rPr>
                <w:lang w:val="en-US"/>
              </w:rPr>
              <w:t>9.5</w:t>
            </w:r>
          </w:p>
        </w:tc>
        <w:tc>
          <w:tcPr>
            <w:tcW w:w="3233" w:type="dxa"/>
          </w:tcPr>
          <w:p w14:paraId="615D8ADC" w14:textId="01DEDE83" w:rsidR="00F004CD" w:rsidRDefault="00852888" w:rsidP="00360FE3">
            <w:pPr>
              <w:jc w:val="center"/>
              <w:rPr>
                <w:lang w:val="en-US"/>
              </w:rPr>
            </w:pPr>
            <w:r>
              <w:rPr>
                <w:lang w:val="en-US"/>
              </w:rPr>
              <w:t>23.5</w:t>
            </w:r>
          </w:p>
        </w:tc>
      </w:tr>
      <w:tr w:rsidR="00F004CD" w14:paraId="34F37560" w14:textId="77777777" w:rsidTr="00360FE3">
        <w:trPr>
          <w:jc w:val="center"/>
        </w:trPr>
        <w:tc>
          <w:tcPr>
            <w:tcW w:w="2527" w:type="dxa"/>
          </w:tcPr>
          <w:p w14:paraId="414D58D0" w14:textId="0D97E75C" w:rsidR="00F004CD" w:rsidRDefault="00852888" w:rsidP="00A209D6">
            <w:pPr>
              <w:rPr>
                <w:lang w:val="en-US"/>
              </w:rPr>
            </w:pPr>
            <w:r>
              <w:rPr>
                <w:lang w:val="en-US"/>
              </w:rPr>
              <w:t>LEO-1500 total case 1</w:t>
            </w:r>
          </w:p>
        </w:tc>
        <w:tc>
          <w:tcPr>
            <w:tcW w:w="3200" w:type="dxa"/>
          </w:tcPr>
          <w:p w14:paraId="4F54E918" w14:textId="3504564A" w:rsidR="00F004CD" w:rsidRDefault="00852888" w:rsidP="00360FE3">
            <w:pPr>
              <w:jc w:val="center"/>
              <w:rPr>
                <w:lang w:val="en-US"/>
              </w:rPr>
            </w:pPr>
            <w:r>
              <w:rPr>
                <w:lang w:val="en-US"/>
              </w:rPr>
              <w:t>20.0</w:t>
            </w:r>
          </w:p>
        </w:tc>
        <w:tc>
          <w:tcPr>
            <w:tcW w:w="3233" w:type="dxa"/>
          </w:tcPr>
          <w:p w14:paraId="077F2D24" w14:textId="1B81270F" w:rsidR="00F004CD" w:rsidRDefault="00852888" w:rsidP="00360FE3">
            <w:pPr>
              <w:jc w:val="center"/>
              <w:rPr>
                <w:lang w:val="en-US"/>
              </w:rPr>
            </w:pPr>
            <w:r>
              <w:rPr>
                <w:lang w:val="en-US"/>
              </w:rPr>
              <w:t>40.0</w:t>
            </w:r>
          </w:p>
        </w:tc>
      </w:tr>
    </w:tbl>
    <w:p w14:paraId="797C8E77" w14:textId="77777777" w:rsidR="007A71E9" w:rsidRPr="007A71E9" w:rsidRDefault="007A71E9" w:rsidP="00A209D6">
      <w:pPr>
        <w:rPr>
          <w:lang w:val="en-US"/>
        </w:rPr>
      </w:pPr>
    </w:p>
    <w:p w14:paraId="75758C17" w14:textId="246EF05C" w:rsidR="00A209D6" w:rsidRPr="00216C65" w:rsidRDefault="00A209D6" w:rsidP="00A209D6">
      <w:pPr>
        <w:rPr>
          <w:b/>
        </w:rPr>
      </w:pPr>
      <w:r w:rsidRPr="00216C65">
        <w:rPr>
          <w:b/>
        </w:rPr>
        <w:t xml:space="preserve">Observation 1: </w:t>
      </w:r>
      <w:r w:rsidR="00DA00BD" w:rsidRPr="00216C65">
        <w:rPr>
          <w:b/>
        </w:rPr>
        <w:t>The delay variations caused by satellite moving is significant, especially for high altitude LEO deployment</w:t>
      </w:r>
      <w:r w:rsidRPr="00216C65">
        <w:rPr>
          <w:b/>
        </w:rPr>
        <w:t>.</w:t>
      </w:r>
    </w:p>
    <w:p w14:paraId="7098F90D" w14:textId="37439439" w:rsidR="00A209D6" w:rsidRPr="006E13D1" w:rsidRDefault="00931CDF" w:rsidP="00A209D6">
      <w:pPr>
        <w:pStyle w:val="Heading2"/>
      </w:pPr>
      <w:r>
        <w:t>2</w:t>
      </w:r>
      <w:r w:rsidR="00A209D6" w:rsidRPr="006E13D1">
        <w:t>.2</w:t>
      </w:r>
      <w:r w:rsidR="00A209D6" w:rsidRPr="006E13D1">
        <w:tab/>
      </w:r>
      <w:r w:rsidR="00DA00BD" w:rsidRPr="00DA00BD">
        <w:t>Adjusting timers according to delay variations</w:t>
      </w:r>
    </w:p>
    <w:p w14:paraId="49AA518B" w14:textId="5BCE2EDA" w:rsidR="00B1736D" w:rsidRDefault="00823FFB" w:rsidP="00B1736D">
      <w:r>
        <w:t xml:space="preserve">To accommodate </w:t>
      </w:r>
      <w:r w:rsidRPr="00527295">
        <w:t>the large propagation delay</w:t>
      </w:r>
      <w:r>
        <w:t xml:space="preserve"> in moving satellite, </w:t>
      </w:r>
      <w:r w:rsidR="00B1736D">
        <w:t xml:space="preserve">two types of timer </w:t>
      </w:r>
      <w:r w:rsidR="006B4DA0">
        <w:t xml:space="preserve">adaptation may </w:t>
      </w:r>
      <w:r w:rsidR="00B1736D">
        <w:t>be</w:t>
      </w:r>
      <w:r w:rsidR="006B4DA0">
        <w:t xml:space="preserve"> needed</w:t>
      </w:r>
      <w:r w:rsidR="00B1736D">
        <w:t>.</w:t>
      </w:r>
    </w:p>
    <w:p w14:paraId="2607103F" w14:textId="77777777" w:rsidR="00B1736D" w:rsidRPr="00B1736D" w:rsidRDefault="00B1736D" w:rsidP="00B1736D">
      <w:pPr>
        <w:pStyle w:val="ListParagraph"/>
        <w:numPr>
          <w:ilvl w:val="0"/>
          <w:numId w:val="17"/>
        </w:numPr>
        <w:rPr>
          <w:rFonts w:ascii="Times New Roman" w:eastAsia="宋体" w:hAnsi="Times New Roman"/>
          <w:sz w:val="20"/>
          <w:szCs w:val="20"/>
          <w:lang w:val="en-GB"/>
        </w:rPr>
      </w:pPr>
      <w:r w:rsidRPr="00B1736D">
        <w:rPr>
          <w:rFonts w:ascii="Times New Roman" w:eastAsia="宋体" w:hAnsi="Times New Roman"/>
          <w:sz w:val="20"/>
          <w:szCs w:val="20"/>
          <w:lang w:val="en-GB"/>
        </w:rPr>
        <w:t xml:space="preserve">Type1: Timer start trigger should be adapted by offset, e.g. start of the </w:t>
      </w:r>
      <w:proofErr w:type="spellStart"/>
      <w:r w:rsidRPr="00B1736D">
        <w:rPr>
          <w:rFonts w:ascii="Times New Roman" w:eastAsia="宋体" w:hAnsi="Times New Roman"/>
          <w:i/>
          <w:iCs/>
          <w:sz w:val="20"/>
          <w:szCs w:val="20"/>
          <w:lang w:val="en-GB"/>
        </w:rPr>
        <w:t>ra-ResponseWindow</w:t>
      </w:r>
      <w:proofErr w:type="spellEnd"/>
      <w:r w:rsidRPr="00B1736D">
        <w:rPr>
          <w:rFonts w:ascii="Times New Roman" w:eastAsia="宋体" w:hAnsi="Times New Roman"/>
          <w:sz w:val="20"/>
          <w:szCs w:val="20"/>
          <w:lang w:val="en-GB"/>
        </w:rPr>
        <w:t xml:space="preserve"> and </w:t>
      </w:r>
      <w:proofErr w:type="spellStart"/>
      <w:r w:rsidRPr="00B1736D">
        <w:rPr>
          <w:rFonts w:ascii="Times New Roman" w:eastAsia="宋体" w:hAnsi="Times New Roman"/>
          <w:i/>
          <w:iCs/>
          <w:sz w:val="20"/>
          <w:szCs w:val="20"/>
          <w:lang w:val="en-GB"/>
        </w:rPr>
        <w:t>ra-ResponseWindow</w:t>
      </w:r>
      <w:proofErr w:type="spellEnd"/>
    </w:p>
    <w:p w14:paraId="4A93155B" w14:textId="7807170D" w:rsidR="00B1736D" w:rsidRPr="00B1736D" w:rsidRDefault="00B1736D" w:rsidP="00B1736D">
      <w:pPr>
        <w:pStyle w:val="ListParagraph"/>
        <w:numPr>
          <w:ilvl w:val="0"/>
          <w:numId w:val="17"/>
        </w:numPr>
        <w:rPr>
          <w:rFonts w:ascii="Times New Roman" w:eastAsia="宋体" w:hAnsi="Times New Roman"/>
          <w:sz w:val="20"/>
          <w:szCs w:val="20"/>
          <w:lang w:val="en-GB"/>
        </w:rPr>
      </w:pPr>
      <w:r w:rsidRPr="00B1736D">
        <w:rPr>
          <w:rFonts w:ascii="Times New Roman" w:eastAsia="宋体" w:hAnsi="Times New Roman"/>
          <w:sz w:val="20"/>
          <w:szCs w:val="20"/>
          <w:lang w:val="en-GB"/>
        </w:rPr>
        <w:t xml:space="preserve">Type2: Timer value range should be adapted/extended by offset, e.g. </w:t>
      </w:r>
      <w:proofErr w:type="spellStart"/>
      <w:r w:rsidRPr="00B1736D">
        <w:rPr>
          <w:rFonts w:ascii="Times New Roman" w:eastAsia="宋体" w:hAnsi="Times New Roman"/>
          <w:i/>
          <w:iCs/>
          <w:sz w:val="20"/>
          <w:szCs w:val="20"/>
          <w:lang w:val="en-GB"/>
        </w:rPr>
        <w:t>sr-ProhibitTimer</w:t>
      </w:r>
      <w:proofErr w:type="spellEnd"/>
    </w:p>
    <w:p w14:paraId="7212652E" w14:textId="5EA10AB3" w:rsidR="00CA0AA2" w:rsidRDefault="00B1736D" w:rsidP="00A209D6">
      <w:r>
        <w:t xml:space="preserve">For </w:t>
      </w:r>
      <w:r w:rsidR="006B4DA0">
        <w:t>how to adapt the timers (e.g. Type2)</w:t>
      </w:r>
      <w:r>
        <w:t xml:space="preserve">, </w:t>
      </w:r>
      <w:r w:rsidR="00823FFB">
        <w:t xml:space="preserve">one solution is that network configure the UE timer to a static value </w:t>
      </w:r>
      <w:r w:rsidR="00823FFB" w:rsidRPr="00823FFB">
        <w:t>according to the maximum possible delay</w:t>
      </w:r>
      <w:r w:rsidR="00823FFB">
        <w:t xml:space="preserve">, </w:t>
      </w:r>
      <w:r w:rsidR="00823FFB" w:rsidRPr="00823FFB">
        <w:t xml:space="preserve">which reflect the maximum observable delay during satellite serving period. </w:t>
      </w:r>
    </w:p>
    <w:p w14:paraId="4F6D654C" w14:textId="13F0DD7C" w:rsidR="00CA0AA2" w:rsidRPr="00CA0AA2" w:rsidRDefault="00823FFB" w:rsidP="00A209D6">
      <w:r w:rsidRPr="00CA0AA2">
        <w:t xml:space="preserve">However, </w:t>
      </w:r>
      <w:r w:rsidR="00377883" w:rsidRPr="00CA0AA2">
        <w:t xml:space="preserve">based on the fact that the maximum value can be significantly </w:t>
      </w:r>
      <w:r w:rsidR="009F57BB">
        <w:t xml:space="preserve">(2-3 times according to </w:t>
      </w:r>
      <w:r w:rsidR="009F57BB">
        <w:fldChar w:fldCharType="begin"/>
      </w:r>
      <w:r w:rsidR="009F57BB">
        <w:instrText xml:space="preserve"> REF _Ref53386524 \h </w:instrText>
      </w:r>
      <w:r w:rsidR="009F57BB">
        <w:fldChar w:fldCharType="separate"/>
      </w:r>
      <w:r w:rsidR="009F57BB">
        <w:t xml:space="preserve">Table </w:t>
      </w:r>
      <w:r w:rsidR="009F57BB">
        <w:rPr>
          <w:noProof/>
        </w:rPr>
        <w:t>1</w:t>
      </w:r>
      <w:r w:rsidR="009F57BB">
        <w:fldChar w:fldCharType="end"/>
      </w:r>
      <w:r w:rsidR="009F57BB">
        <w:t xml:space="preserve">) </w:t>
      </w:r>
      <w:r w:rsidR="00377883" w:rsidRPr="00CA0AA2">
        <w:t xml:space="preserve">larger </w:t>
      </w:r>
      <w:r w:rsidR="009F57BB">
        <w:t xml:space="preserve"> </w:t>
      </w:r>
      <w:r w:rsidR="00377883" w:rsidRPr="00CA0AA2">
        <w:t xml:space="preserve">than the minimum delay observed in a transparent satellite scenario, </w:t>
      </w:r>
      <w:r w:rsidRPr="00CA0AA2">
        <w:t>whenever the actual delay is lower than the maximum</w:t>
      </w:r>
      <w:r w:rsidR="00377883" w:rsidRPr="00CA0AA2">
        <w:t>,</w:t>
      </w:r>
      <w:r w:rsidRPr="00CA0AA2">
        <w:t xml:space="preserve"> </w:t>
      </w:r>
      <w:r w:rsidR="00124BC2">
        <w:t>certain</w:t>
      </w:r>
      <w:r w:rsidR="00124BC2" w:rsidRPr="00CA0AA2">
        <w:t xml:space="preserve"> </w:t>
      </w:r>
      <w:r w:rsidRPr="00CA0AA2">
        <w:t>timers</w:t>
      </w:r>
      <w:r w:rsidR="004844A2">
        <w:t xml:space="preserve"> (e.g. MAC, RLC, RRC layer times)</w:t>
      </w:r>
      <w:r w:rsidRPr="00CA0AA2">
        <w:t xml:space="preserve"> are suboptimal because the communication loops will be running at a </w:t>
      </w:r>
      <w:proofErr w:type="spellStart"/>
      <w:r w:rsidRPr="00CA0AA2">
        <w:t>lower</w:t>
      </w:r>
      <w:proofErr w:type="spellEnd"/>
      <w:r w:rsidRPr="00CA0AA2">
        <w:t xml:space="preserve"> pace than what is actually possible.</w:t>
      </w:r>
      <w:r w:rsidR="00CA0AA2" w:rsidRPr="00CA0AA2">
        <w:t xml:space="preserve"> One example could be related to the SR and BSR timers</w:t>
      </w:r>
      <w:r w:rsidR="00CA0AA2">
        <w:t xml:space="preserve"> (e.g. </w:t>
      </w:r>
      <w:proofErr w:type="spellStart"/>
      <w:r w:rsidR="00CA0AA2">
        <w:rPr>
          <w:i/>
          <w:iCs/>
          <w:lang w:val="en-US"/>
        </w:rPr>
        <w:t>sr-ProhibitTimer</w:t>
      </w:r>
      <w:proofErr w:type="spellEnd"/>
      <w:r w:rsidR="00CA0AA2">
        <w:t>)</w:t>
      </w:r>
      <w:r w:rsidR="00CA0AA2" w:rsidRPr="00CA0AA2">
        <w:t xml:space="preserve">, which prohibit the UE to send SR/BSR again until they have expired. If they are configured according </w:t>
      </w:r>
      <w:r w:rsidR="00CA0AA2" w:rsidRPr="00CA0AA2">
        <w:lastRenderedPageBreak/>
        <w:t>to the maximum delay (this would be necessary to facilitate the network response reaches the UE in time</w:t>
      </w:r>
      <w:r w:rsidR="00124BC2">
        <w:t xml:space="preserve"> when the actual propagation delay equals the maximum propagation delay of the deployment scenario</w:t>
      </w:r>
      <w:r w:rsidR="00CA0AA2" w:rsidRPr="00CA0AA2">
        <w:t>)</w:t>
      </w:r>
      <w:r w:rsidR="007B1D05">
        <w:t>,</w:t>
      </w:r>
      <w:r w:rsidR="00CA0AA2" w:rsidRPr="00CA0AA2">
        <w:t xml:space="preserve"> it means the UE, whenever the delay is shorter, </w:t>
      </w:r>
      <w:r w:rsidR="001F197F" w:rsidRPr="00CA0AA2">
        <w:t>is</w:t>
      </w:r>
      <w:r w:rsidR="001F197F">
        <w:t xml:space="preserve"> waiting</w:t>
      </w:r>
      <w:r w:rsidR="00CA0AA2" w:rsidRPr="00CA0AA2">
        <w:t xml:space="preserve"> too long to send the SR/BSR again. This reduces the overall performance of the network.</w:t>
      </w:r>
    </w:p>
    <w:p w14:paraId="7CB48676" w14:textId="24DB7598" w:rsidR="00CA0AA2" w:rsidRPr="00216C65" w:rsidRDefault="00CA0AA2" w:rsidP="00CA0AA2">
      <w:pPr>
        <w:rPr>
          <w:b/>
        </w:rPr>
      </w:pPr>
      <w:r w:rsidRPr="00216C65">
        <w:rPr>
          <w:b/>
        </w:rPr>
        <w:t>Observation 2: In satellite moving scenario, using maximum delay for timers impacts user experience and system efficiency negatively.</w:t>
      </w:r>
    </w:p>
    <w:p w14:paraId="24802DF2" w14:textId="7336AD01" w:rsidR="00F2140D" w:rsidRDefault="00793218" w:rsidP="00216C65">
      <w:r>
        <w:t>The sum of the service and feeder link delays are defining the total delay, which the UE timers need to handle, in the transparent satellite case. In principle, the total delay can be predicted per UE by network, if the service and feeder link delays can be estimated based on satellite ephemeris, ground station location, processing times, and deployment scenario as well as UE location.</w:t>
      </w:r>
      <w:r w:rsidR="0072513A">
        <w:t xml:space="preserve"> </w:t>
      </w:r>
    </w:p>
    <w:p w14:paraId="2D285903" w14:textId="6A57D46D" w:rsidR="001F197F" w:rsidRDefault="001F197F" w:rsidP="001F197F">
      <w:pPr>
        <w:rPr>
          <w:b/>
          <w:bCs/>
        </w:rPr>
      </w:pPr>
      <w:r>
        <w:rPr>
          <w:b/>
          <w:bCs/>
        </w:rPr>
        <w:t xml:space="preserve">Observation 3: </w:t>
      </w:r>
      <w:r w:rsidRPr="001F197F">
        <w:rPr>
          <w:b/>
          <w:bCs/>
        </w:rPr>
        <w:t xml:space="preserve">The delay between a </w:t>
      </w:r>
      <w:proofErr w:type="spellStart"/>
      <w:r w:rsidRPr="001F197F">
        <w:rPr>
          <w:b/>
          <w:bCs/>
        </w:rPr>
        <w:t>gNB</w:t>
      </w:r>
      <w:proofErr w:type="spellEnd"/>
      <w:r w:rsidRPr="001F197F">
        <w:rPr>
          <w:b/>
          <w:bCs/>
        </w:rPr>
        <w:t xml:space="preserve"> and a UE depends on among others satellite ephemeris, ground station location, processing times, and UE location.</w:t>
      </w:r>
    </w:p>
    <w:p w14:paraId="780AD927" w14:textId="467D469E" w:rsidR="00C85177" w:rsidRDefault="00C85177" w:rsidP="00C85177">
      <w:pPr>
        <w:rPr>
          <w:lang w:val="en-US"/>
        </w:rPr>
      </w:pPr>
      <w:r>
        <w:rPr>
          <w:lang w:val="en-US"/>
        </w:rPr>
        <w:t xml:space="preserve">Based on the delay </w:t>
      </w:r>
      <w:r w:rsidR="00390CAF">
        <w:rPr>
          <w:lang w:val="en-US"/>
        </w:rPr>
        <w:t xml:space="preserve">estimated </w:t>
      </w:r>
      <w:r>
        <w:rPr>
          <w:lang w:val="en-US"/>
        </w:rPr>
        <w:t>by network, another way-forward is to set a variable value per timer. It will be necessary to update each timer with a certain rate when the satellites are moving. Such an update per timer will be UE-specific and therefore result in significant control overhead, when considering the larger number of control loop timers in NR.</w:t>
      </w:r>
    </w:p>
    <w:p w14:paraId="16C7FB19" w14:textId="58261D52" w:rsidR="00CA0AA2" w:rsidRPr="00196B62" w:rsidRDefault="00196B62" w:rsidP="00A209D6">
      <w:pPr>
        <w:rPr>
          <w:b/>
        </w:rPr>
      </w:pPr>
      <w:r w:rsidRPr="00196B62">
        <w:rPr>
          <w:b/>
        </w:rPr>
        <w:t xml:space="preserve">Observation </w:t>
      </w:r>
      <w:r w:rsidR="001F197F">
        <w:rPr>
          <w:b/>
        </w:rPr>
        <w:t>4</w:t>
      </w:r>
      <w:r w:rsidRPr="00196B62">
        <w:rPr>
          <w:b/>
        </w:rPr>
        <w:t xml:space="preserve">: </w:t>
      </w:r>
      <w:r w:rsidR="00F2140D" w:rsidRPr="00216C65">
        <w:rPr>
          <w:b/>
        </w:rPr>
        <w:t xml:space="preserve">In satellite moving scenario, </w:t>
      </w:r>
      <w:r w:rsidR="00F2140D">
        <w:rPr>
          <w:b/>
        </w:rPr>
        <w:t>u</w:t>
      </w:r>
      <w:r w:rsidRPr="00196B62">
        <w:rPr>
          <w:b/>
        </w:rPr>
        <w:t xml:space="preserve">sing </w:t>
      </w:r>
      <w:r w:rsidR="00F2140D">
        <w:rPr>
          <w:b/>
        </w:rPr>
        <w:t xml:space="preserve">network indicated </w:t>
      </w:r>
      <w:r w:rsidRPr="00196B62">
        <w:rPr>
          <w:b/>
        </w:rPr>
        <w:t>variable delay values per timer increases control overhead due to per-value, per-UE signalling.</w:t>
      </w:r>
    </w:p>
    <w:p w14:paraId="5B9B454D" w14:textId="2F2CC489" w:rsidR="00D32011" w:rsidRDefault="00F2140D" w:rsidP="00D32011">
      <w:r>
        <w:t>Different from network</w:t>
      </w:r>
      <w:r w:rsidR="00971571" w:rsidRPr="00971571">
        <w:t xml:space="preserve">, the delay between a </w:t>
      </w:r>
      <w:proofErr w:type="spellStart"/>
      <w:r w:rsidR="00971571" w:rsidRPr="00971571">
        <w:t>gNB</w:t>
      </w:r>
      <w:proofErr w:type="spellEnd"/>
      <w:r w:rsidR="00971571" w:rsidRPr="00971571">
        <w:t xml:space="preserve"> and a UE </w:t>
      </w:r>
      <w:r w:rsidR="00971571">
        <w:t>may not</w:t>
      </w:r>
      <w:r w:rsidR="00971571" w:rsidRPr="00971571">
        <w:t xml:space="preserve"> be estimated by </w:t>
      </w:r>
      <w:r w:rsidR="00971571">
        <w:t>UE.</w:t>
      </w:r>
      <w:r w:rsidR="00971571" w:rsidRPr="00971571">
        <w:t xml:space="preserve"> </w:t>
      </w:r>
      <w:r w:rsidR="00971571">
        <w:t>O</w:t>
      </w:r>
      <w:r w:rsidR="00D32011" w:rsidRPr="00971571">
        <w:t>ne</w:t>
      </w:r>
      <w:r w:rsidR="00D32011">
        <w:t xml:space="preserve"> issue is that all the required knowledge may not be available in the UE, at least not with sufficient accuracy. Furthermore, a continuous estimation of the changing delay may imply a significant processing burden on the UE</w:t>
      </w:r>
      <w:r w:rsidR="000524F5">
        <w:t xml:space="preserve">, especially </w:t>
      </w:r>
      <w:r w:rsidR="00C254C7">
        <w:t xml:space="preserve">for </w:t>
      </w:r>
      <w:r w:rsidR="000524F5">
        <w:t>UE in RRC Connected State</w:t>
      </w:r>
      <w:r w:rsidR="00D32011">
        <w:t>.</w:t>
      </w:r>
      <w:r w:rsidR="000E3082">
        <w:t xml:space="preserve"> </w:t>
      </w:r>
      <w:r w:rsidR="000E3082" w:rsidRPr="007212D9">
        <w:t xml:space="preserve">If the UE autonomously adjust the timer based on inaccurate estimation, there is a great risk that there will be misalignment between the </w:t>
      </w:r>
      <w:proofErr w:type="spellStart"/>
      <w:r w:rsidR="000E3082" w:rsidRPr="007212D9">
        <w:t>gNB</w:t>
      </w:r>
      <w:proofErr w:type="spellEnd"/>
      <w:r w:rsidR="000E3082" w:rsidRPr="007212D9">
        <w:t xml:space="preserve"> and the UE.</w:t>
      </w:r>
    </w:p>
    <w:p w14:paraId="3A603145" w14:textId="3850BA4F" w:rsidR="00D81C97" w:rsidRDefault="00D32011" w:rsidP="00D32011">
      <w:r>
        <w:t>Another option may be to define a common reference point for a NR cell slightly above Earth</w:t>
      </w:r>
      <w:r w:rsidR="00D81C97">
        <w:t xml:space="preserve">, where network </w:t>
      </w:r>
      <w:r w:rsidR="00287897">
        <w:t xml:space="preserve">can </w:t>
      </w:r>
      <w:r w:rsidR="00D81C97">
        <w:t xml:space="preserve">derive variable delay based on </w:t>
      </w:r>
      <w:r w:rsidR="00D81C97" w:rsidRPr="00D81C97">
        <w:t xml:space="preserve">satellite ephemeris, ground station location, satellite processing times, and </w:t>
      </w:r>
      <w:r w:rsidR="00D81C97">
        <w:t>common reference point</w:t>
      </w:r>
      <w:r w:rsidR="00D81C97" w:rsidRPr="00D81C97">
        <w:t xml:space="preserve"> location.</w:t>
      </w:r>
      <w:r w:rsidR="00D81C97">
        <w:t xml:space="preserve"> </w:t>
      </w:r>
    </w:p>
    <w:p w14:paraId="5DF7637D" w14:textId="340FF841" w:rsidR="00FD0D79" w:rsidRDefault="00D32011" w:rsidP="00D32011">
      <w:r>
        <w:t xml:space="preserve">In this way the delta delay between each UE and the common reference point is minimal, while </w:t>
      </w:r>
      <w:r w:rsidR="00A35EA3">
        <w:t xml:space="preserve">the </w:t>
      </w:r>
      <w:r w:rsidR="004D20AA">
        <w:t xml:space="preserve">main component of the total delay, </w:t>
      </w:r>
      <w:r w:rsidR="00E26F42">
        <w:t xml:space="preserve">i.e. the delay between </w:t>
      </w:r>
      <w:proofErr w:type="spellStart"/>
      <w:r w:rsidR="00E26F42">
        <w:t>gNB</w:t>
      </w:r>
      <w:proofErr w:type="spellEnd"/>
      <w:r w:rsidR="00E26F42">
        <w:t xml:space="preserve"> and the common reference point, </w:t>
      </w:r>
      <w:r w:rsidRPr="00AB6CDE">
        <w:t>as a function of time</w:t>
      </w:r>
      <w:r>
        <w:t xml:space="preserve"> can be broadcasted</w:t>
      </w:r>
      <w:r w:rsidR="00D81C97">
        <w:t xml:space="preserve"> by network</w:t>
      </w:r>
      <w:r>
        <w:t xml:space="preserve">. </w:t>
      </w:r>
      <w:r w:rsidR="002A2A7A">
        <w:t xml:space="preserve">The function may </w:t>
      </w:r>
      <w:r w:rsidR="007C12CE">
        <w:t xml:space="preserve">e.g. </w:t>
      </w:r>
      <w:r w:rsidR="002A2A7A">
        <w:t xml:space="preserve">be a parametrized </w:t>
      </w:r>
      <w:r w:rsidR="00E85278">
        <w:t xml:space="preserve">model of the changing delay over time, </w:t>
      </w:r>
      <w:r w:rsidR="00D476F3">
        <w:t>as</w:t>
      </w:r>
      <w:r w:rsidR="00E85278">
        <w:t xml:space="preserve"> is indicated in </w:t>
      </w:r>
      <w:r w:rsidR="00D476F3">
        <w:fldChar w:fldCharType="begin"/>
      </w:r>
      <w:r w:rsidR="00D476F3">
        <w:instrText xml:space="preserve"> REF _Ref53389133 \h </w:instrText>
      </w:r>
      <w:r w:rsidR="00D476F3">
        <w:fldChar w:fldCharType="separate"/>
      </w:r>
      <w:r w:rsidR="00D476F3">
        <w:t xml:space="preserve">Figure </w:t>
      </w:r>
      <w:r w:rsidR="00D476F3">
        <w:rPr>
          <w:noProof/>
        </w:rPr>
        <w:t>1</w:t>
      </w:r>
      <w:r w:rsidR="00D476F3">
        <w:fldChar w:fldCharType="end"/>
      </w:r>
      <w:r w:rsidR="007C12CE">
        <w:t xml:space="preserve">, or a table defining the </w:t>
      </w:r>
      <w:r w:rsidR="00DF2C85">
        <w:t xml:space="preserve">delay at certain points in time. The </w:t>
      </w:r>
      <w:r w:rsidR="001118DB">
        <w:t>time to switch from one entry in the table to another can e.g. be defined based on System Frame Number</w:t>
      </w:r>
      <w:r w:rsidR="0083440A">
        <w:t>.</w:t>
      </w:r>
      <w:r w:rsidR="001118DB">
        <w:t xml:space="preserve"> </w:t>
      </w:r>
    </w:p>
    <w:p w14:paraId="0F608121" w14:textId="16267F89" w:rsidR="00D32011" w:rsidRDefault="00D32011" w:rsidP="00D32011">
      <w:r>
        <w:t xml:space="preserve">Using such a broadcasted function, </w:t>
      </w:r>
      <w:r w:rsidR="00D81C97">
        <w:t xml:space="preserve">network and </w:t>
      </w:r>
      <w:r>
        <w:t>each UE can then adjust their timers, potentially with a conservative safety margin to account for the residual delay between the reference point and the UE’s location. By ensuring the cell</w:t>
      </w:r>
      <w:r w:rsidR="0002066F">
        <w:t>/beam</w:t>
      </w:r>
      <w:r>
        <w:t xml:space="preserve"> common reference point is close to the UEs and assuming relatively small cell sizes, the UE-specific delay from the reference point to the actual UE location may be so small that it does not impact the overall choice of the timer value.</w:t>
      </w:r>
    </w:p>
    <w:p w14:paraId="04468F95" w14:textId="3985C389" w:rsidR="00D32011" w:rsidRPr="009A5F63" w:rsidRDefault="009A5F63" w:rsidP="009A5F63">
      <w:pPr>
        <w:rPr>
          <w:b/>
          <w:bCs/>
        </w:rPr>
      </w:pPr>
      <w:r>
        <w:rPr>
          <w:b/>
          <w:bCs/>
        </w:rPr>
        <w:t xml:space="preserve">Observation 5: </w:t>
      </w:r>
      <w:r w:rsidR="00D32011" w:rsidRPr="009A5F63">
        <w:rPr>
          <w:b/>
          <w:bCs/>
        </w:rPr>
        <w:t xml:space="preserve">The delay between a </w:t>
      </w:r>
      <w:proofErr w:type="spellStart"/>
      <w:r w:rsidR="00D32011" w:rsidRPr="009A5F63">
        <w:rPr>
          <w:b/>
          <w:bCs/>
        </w:rPr>
        <w:t>gNB</w:t>
      </w:r>
      <w:proofErr w:type="spellEnd"/>
      <w:r w:rsidR="00D32011" w:rsidRPr="009A5F63">
        <w:rPr>
          <w:b/>
          <w:bCs/>
        </w:rPr>
        <w:t xml:space="preserve"> and a cell</w:t>
      </w:r>
      <w:r w:rsidR="00616A7B">
        <w:rPr>
          <w:b/>
          <w:bCs/>
        </w:rPr>
        <w:t>/beam</w:t>
      </w:r>
      <w:r w:rsidR="00D32011" w:rsidRPr="009A5F63">
        <w:rPr>
          <w:b/>
          <w:bCs/>
        </w:rPr>
        <w:t xml:space="preserve"> common reference point can be broadcasted </w:t>
      </w:r>
      <w:r w:rsidR="006F1E76">
        <w:rPr>
          <w:b/>
          <w:bCs/>
        </w:rPr>
        <w:t xml:space="preserve">as </w:t>
      </w:r>
      <w:r w:rsidR="006F1E76" w:rsidRPr="00AB6CDE">
        <w:rPr>
          <w:b/>
          <w:bCs/>
        </w:rPr>
        <w:t>a function of time</w:t>
      </w:r>
      <w:r w:rsidR="006F1E76" w:rsidRPr="006F1E76">
        <w:rPr>
          <w:b/>
          <w:bCs/>
          <w:color w:val="FF0000"/>
        </w:rPr>
        <w:t xml:space="preserve"> </w:t>
      </w:r>
      <w:r w:rsidR="00D32011" w:rsidRPr="009A5F63">
        <w:rPr>
          <w:b/>
          <w:bCs/>
        </w:rPr>
        <w:t>and applied by UEs</w:t>
      </w:r>
      <w:r w:rsidR="00BB281C">
        <w:rPr>
          <w:b/>
          <w:bCs/>
        </w:rPr>
        <w:t xml:space="preserve"> </w:t>
      </w:r>
      <w:r w:rsidR="00D32011" w:rsidRPr="009A5F63">
        <w:rPr>
          <w:b/>
          <w:bCs/>
        </w:rPr>
        <w:t>to update timers.</w:t>
      </w:r>
    </w:p>
    <w:p w14:paraId="6330C67A" w14:textId="17BDA30C" w:rsidR="00971571" w:rsidRDefault="00971571" w:rsidP="00971571">
      <w:r>
        <w:t>If UEs autonomously adjust the timers on various layers</w:t>
      </w:r>
      <w:r w:rsidR="00FB4E6E">
        <w:t xml:space="preserve"> (e.g. </w:t>
      </w:r>
      <w:proofErr w:type="spellStart"/>
      <w:r w:rsidR="00FB4E6E">
        <w:rPr>
          <w:i/>
          <w:iCs/>
          <w:lang w:val="en-US"/>
        </w:rPr>
        <w:t>sr-ProhibitTimer</w:t>
      </w:r>
      <w:proofErr w:type="spellEnd"/>
      <w:r w:rsidR="00FB4E6E">
        <w:t>)</w:t>
      </w:r>
      <w:r>
        <w:t>, the communication with the network may be jeopardized. Therefore, the broadcasted delay function may include information on when the UEs shall update their timers. Thus, the UE-network synchronization, in terms of a common understanding of the currently used UE timers, is maintained.</w:t>
      </w:r>
    </w:p>
    <w:p w14:paraId="613B1E9E" w14:textId="5B407859" w:rsidR="00971571" w:rsidRPr="00971571" w:rsidRDefault="00971571" w:rsidP="00971571">
      <w:pPr>
        <w:rPr>
          <w:b/>
          <w:bCs/>
        </w:rPr>
      </w:pPr>
      <w:r>
        <w:rPr>
          <w:b/>
          <w:bCs/>
        </w:rPr>
        <w:t xml:space="preserve">Observation 6: </w:t>
      </w:r>
      <w:r w:rsidRPr="00971571">
        <w:rPr>
          <w:b/>
          <w:bCs/>
        </w:rPr>
        <w:t>The broadcasted delay function may also include information on specific time instances where the UEs shall update the timers.</w:t>
      </w:r>
    </w:p>
    <w:p w14:paraId="34128D9C" w14:textId="739C818A" w:rsidR="00971571" w:rsidRDefault="00971571" w:rsidP="00971571">
      <w:r>
        <w:t>Based on the above description, t</w:t>
      </w:r>
      <w:r w:rsidRPr="00947569">
        <w:t xml:space="preserve">he </w:t>
      </w:r>
      <w:r w:rsidR="00720A82">
        <w:t>approach</w:t>
      </w:r>
      <w:r>
        <w:t xml:space="preserve"> to handle the long and varying delays of NTN by use of a cell</w:t>
      </w:r>
      <w:r w:rsidR="002F32EF">
        <w:t>/beam</w:t>
      </w:r>
      <w:r>
        <w:t xml:space="preserve"> common reference point and well-defined time instances for updating the UE timers based on the common reference delay, is proposed to RAN2 for discussion.</w:t>
      </w:r>
    </w:p>
    <w:p w14:paraId="46CF56F7" w14:textId="042DD125" w:rsidR="00971571" w:rsidRPr="00971571" w:rsidRDefault="00971571" w:rsidP="00971571">
      <w:r>
        <w:rPr>
          <w:b/>
          <w:bCs/>
        </w:rPr>
        <w:t xml:space="preserve">Proposal 1: </w:t>
      </w:r>
      <w:r w:rsidRPr="00971571">
        <w:rPr>
          <w:b/>
          <w:bCs/>
        </w:rPr>
        <w:t>RAN2 to discuss the use of a cell</w:t>
      </w:r>
      <w:r w:rsidR="002F32EF">
        <w:rPr>
          <w:b/>
          <w:bCs/>
        </w:rPr>
        <w:t>/beam</w:t>
      </w:r>
      <w:r w:rsidRPr="00971571">
        <w:rPr>
          <w:b/>
          <w:bCs/>
        </w:rPr>
        <w:t xml:space="preserve"> common reference point delay for updating UE timers</w:t>
      </w:r>
      <w:r w:rsidR="00BB281C">
        <w:rPr>
          <w:b/>
          <w:bCs/>
        </w:rPr>
        <w:t xml:space="preserve"> in satellite moving scenario</w:t>
      </w:r>
      <w:r w:rsidRPr="00971571">
        <w:rPr>
          <w:b/>
          <w:bCs/>
        </w:rPr>
        <w:t>.</w:t>
      </w:r>
    </w:p>
    <w:p w14:paraId="06125747" w14:textId="08AADFB1" w:rsidR="00823FFB" w:rsidRDefault="00823FFB" w:rsidP="00A209D6"/>
    <w:p w14:paraId="1B178CC4" w14:textId="78D93FA4" w:rsidR="00823FFB" w:rsidRPr="006E13D1" w:rsidRDefault="00823FFB" w:rsidP="00823FFB">
      <w:pPr>
        <w:pStyle w:val="Heading2"/>
      </w:pPr>
      <w:r>
        <w:lastRenderedPageBreak/>
        <w:t>2</w:t>
      </w:r>
      <w:r w:rsidRPr="006E13D1">
        <w:t>.</w:t>
      </w:r>
      <w:r w:rsidR="0009280F">
        <w:t>3</w:t>
      </w:r>
      <w:r w:rsidRPr="006E13D1">
        <w:tab/>
      </w:r>
      <w:r w:rsidR="00BE13C7">
        <w:t xml:space="preserve">Update </w:t>
      </w:r>
      <w:bookmarkStart w:id="3" w:name="_Hlk53236692"/>
      <w:proofErr w:type="spellStart"/>
      <w:r w:rsidR="007F3AA4">
        <w:t>gNB</w:t>
      </w:r>
      <w:proofErr w:type="spellEnd"/>
      <w:r w:rsidR="007F3AA4">
        <w:t xml:space="preserve"> broadcasted common delay </w:t>
      </w:r>
      <w:bookmarkEnd w:id="3"/>
      <w:r w:rsidRPr="00DA00BD">
        <w:t>according to delay variations</w:t>
      </w:r>
    </w:p>
    <w:p w14:paraId="37D4BE3E" w14:textId="1003B31C" w:rsidR="00E77C7F" w:rsidRDefault="004713EB" w:rsidP="00823FFB">
      <w:r>
        <w:t xml:space="preserve">In email discussion </w:t>
      </w:r>
      <w:r w:rsidRPr="004713EB">
        <w:t>[Post111-e][</w:t>
      </w:r>
      <w:proofErr w:type="gramStart"/>
      <w:r w:rsidRPr="004713EB">
        <w:t>908][</w:t>
      </w:r>
      <w:proofErr w:type="gramEnd"/>
      <w:r w:rsidRPr="004713EB">
        <w:t>NTN] RACH and HARQ feedback aspects</w:t>
      </w:r>
      <w:r>
        <w:t xml:space="preserve">, </w:t>
      </w:r>
      <w:r w:rsidR="00CB07C4" w:rsidRPr="00CB07C4">
        <w:t>two options are proposed on the method of UE-specific delay timing pre-compensation. RAN1 is discussing the timing estimation feasibility of two options, with the main discussions/concerns which is related to required accuracy (time or position), implementation impact, power consumption at UE etc.</w:t>
      </w:r>
      <w:r w:rsidR="00C42BF0">
        <w:t xml:space="preserve"> The feasibility of these two options is out of RAN2 scope</w:t>
      </w:r>
      <w:r w:rsidR="001E77FF">
        <w:t xml:space="preserve"> (e.g. estimation accuracy)</w:t>
      </w:r>
      <w:r w:rsidR="00C42BF0">
        <w:t>, which should be concluded by RAN1.</w:t>
      </w:r>
    </w:p>
    <w:tbl>
      <w:tblPr>
        <w:tblStyle w:val="TableGrid"/>
        <w:tblW w:w="0" w:type="auto"/>
        <w:tblLook w:val="04A0" w:firstRow="1" w:lastRow="0" w:firstColumn="1" w:lastColumn="0" w:noHBand="0" w:noVBand="1"/>
      </w:tblPr>
      <w:tblGrid>
        <w:gridCol w:w="9631"/>
      </w:tblGrid>
      <w:tr w:rsidR="00E77C7F" w14:paraId="301F132D" w14:textId="77777777" w:rsidTr="00E77C7F">
        <w:tc>
          <w:tcPr>
            <w:tcW w:w="9631" w:type="dxa"/>
          </w:tcPr>
          <w:p w14:paraId="242BDAF5" w14:textId="77777777" w:rsidR="00E77C7F" w:rsidRDefault="00E77C7F" w:rsidP="00E77C7F">
            <w:pPr>
              <w:ind w:left="1440" w:hanging="1440"/>
              <w:rPr>
                <w:b/>
                <w:lang w:eastAsia="sv-SE"/>
              </w:rPr>
            </w:pPr>
            <w:r>
              <w:rPr>
                <w:b/>
                <w:lang w:eastAsia="sv-SE"/>
              </w:rPr>
              <w:t xml:space="preserve">Question 2.7: </w:t>
            </w:r>
            <w:r>
              <w:rPr>
                <w:b/>
                <w:lang w:eastAsia="sv-SE"/>
              </w:rPr>
              <w:tab/>
              <w:t xml:space="preserve">What is the preferred method of UE-specific delay timing pre-compensation </w:t>
            </w:r>
            <w:r>
              <w:rPr>
                <w:b/>
                <w:i/>
                <w:lang w:eastAsia="sv-SE"/>
              </w:rPr>
              <w:t>from a RAN2 perspective</w:t>
            </w:r>
            <w:r>
              <w:rPr>
                <w:b/>
                <w:lang w:eastAsia="sv-SE"/>
              </w:rPr>
              <w:t>? Companies are invited to list potential impacts on RAN2 work associated with each option (if identified) in the “Additional Comments” section.</w:t>
            </w:r>
          </w:p>
          <w:p w14:paraId="3B884EFB" w14:textId="77777777" w:rsidR="00462800" w:rsidRPr="00D75F63" w:rsidRDefault="00462800" w:rsidP="00462800">
            <w:pPr>
              <w:pStyle w:val="ListParagraph"/>
              <w:numPr>
                <w:ilvl w:val="0"/>
                <w:numId w:val="14"/>
              </w:numPr>
              <w:spacing w:after="160" w:line="259" w:lineRule="auto"/>
              <w:jc w:val="both"/>
              <w:rPr>
                <w:rFonts w:ascii="Arial" w:hAnsi="Arial" w:cs="Arial"/>
                <w:b/>
                <w:bCs/>
                <w:i/>
                <w:sz w:val="20"/>
              </w:rPr>
            </w:pPr>
            <w:r w:rsidRPr="00D75F63">
              <w:rPr>
                <w:rFonts w:ascii="Arial" w:hAnsi="Arial" w:cs="Arial"/>
                <w:b/>
                <w:bCs/>
                <w:i/>
                <w:sz w:val="20"/>
              </w:rPr>
              <w:t>Option 1: The User specific TA is estimated by the UE based on its GNSS acquired position together with the serving satellite ephemeris indicated by the network:</w:t>
            </w:r>
          </w:p>
          <w:p w14:paraId="774AC2D4" w14:textId="77777777" w:rsidR="00462800" w:rsidRPr="00CB59B9" w:rsidRDefault="00462800" w:rsidP="00462800">
            <w:pPr>
              <w:pStyle w:val="ListParagraph"/>
              <w:numPr>
                <w:ilvl w:val="1"/>
                <w:numId w:val="14"/>
              </w:numPr>
              <w:spacing w:after="160" w:line="259" w:lineRule="auto"/>
              <w:jc w:val="both"/>
              <w:rPr>
                <w:rFonts w:ascii="Arial" w:hAnsi="Arial" w:cs="Arial"/>
                <w:i/>
                <w:sz w:val="20"/>
              </w:rPr>
            </w:pPr>
            <w:r w:rsidRPr="00CB59B9">
              <w:rPr>
                <w:rFonts w:ascii="Arial" w:hAnsi="Arial" w:cs="Arial"/>
                <w:i/>
                <w:sz w:val="20"/>
              </w:rPr>
              <w:t xml:space="preserve">FFS: Details on serving satellite ephemeris indication </w:t>
            </w:r>
          </w:p>
          <w:p w14:paraId="1412CBBF" w14:textId="274CA6BC" w:rsidR="00CB5211" w:rsidRPr="00D75F63" w:rsidRDefault="00462800" w:rsidP="00462800">
            <w:pPr>
              <w:pStyle w:val="ListParagraph"/>
              <w:numPr>
                <w:ilvl w:val="0"/>
                <w:numId w:val="14"/>
              </w:numPr>
              <w:spacing w:after="160" w:line="259" w:lineRule="auto"/>
              <w:jc w:val="both"/>
              <w:rPr>
                <w:rFonts w:ascii="Arial" w:hAnsi="Arial" w:cs="Arial"/>
                <w:b/>
                <w:bCs/>
                <w:i/>
                <w:sz w:val="20"/>
              </w:rPr>
            </w:pPr>
            <w:r w:rsidRPr="00D75F63">
              <w:rPr>
                <w:rFonts w:ascii="Arial" w:hAnsi="Arial" w:cs="Arial"/>
                <w:b/>
                <w:bCs/>
                <w:i/>
                <w:sz w:val="20"/>
              </w:rPr>
              <w:t xml:space="preserve">Option 2: The User specific </w:t>
            </w:r>
            <w:proofErr w:type="gramStart"/>
            <w:r w:rsidRPr="00D75F63">
              <w:rPr>
                <w:rFonts w:ascii="Arial" w:hAnsi="Arial" w:cs="Arial"/>
                <w:b/>
                <w:bCs/>
                <w:i/>
                <w:sz w:val="20"/>
              </w:rPr>
              <w:t>TA  is</w:t>
            </w:r>
            <w:proofErr w:type="gramEnd"/>
            <w:r w:rsidRPr="00D75F63">
              <w:rPr>
                <w:rFonts w:ascii="Arial" w:hAnsi="Arial" w:cs="Arial"/>
                <w:b/>
                <w:bCs/>
                <w:i/>
                <w:sz w:val="20"/>
              </w:rPr>
              <w:t xml:space="preserve"> estimated by the UE based on the GNSS acquired reference time at UE together with reference time as indicated by the network</w:t>
            </w:r>
          </w:p>
        </w:tc>
      </w:tr>
    </w:tbl>
    <w:p w14:paraId="25896D72" w14:textId="77777777" w:rsidR="00AD2359" w:rsidRPr="00AD2359" w:rsidRDefault="00AD2359" w:rsidP="00AD2359">
      <w:pPr>
        <w:rPr>
          <w:b/>
          <w:bCs/>
          <w:sz w:val="2"/>
          <w:szCs w:val="2"/>
        </w:rPr>
      </w:pPr>
    </w:p>
    <w:p w14:paraId="5DD8640B" w14:textId="685FD91C" w:rsidR="00AD2359" w:rsidRPr="00971571" w:rsidRDefault="00AD2359" w:rsidP="00AD2359">
      <w:r>
        <w:rPr>
          <w:b/>
          <w:bCs/>
        </w:rPr>
        <w:t>Proposal 2: The feasibility of timing pre-compensation options should be concluded in RAN1 rather than RAN2, to enable UE to estimate and pre-compensate UE specific delay timing with the required accuracy</w:t>
      </w:r>
      <w:r w:rsidRPr="00971571">
        <w:rPr>
          <w:b/>
          <w:bCs/>
        </w:rPr>
        <w:t>.</w:t>
      </w:r>
    </w:p>
    <w:p w14:paraId="4D2B3067" w14:textId="1A4CB018" w:rsidR="00B01EB8" w:rsidRDefault="00D52EA3" w:rsidP="00B01EB8">
      <w:pPr>
        <w:rPr>
          <w:lang w:val="en-US"/>
        </w:rPr>
      </w:pPr>
      <w:r w:rsidRPr="00D52EA3">
        <w:t>From RAN2 perspective,</w:t>
      </w:r>
      <w:r>
        <w:t xml:space="preserve"> </w:t>
      </w:r>
      <w:r w:rsidR="00B01EB8" w:rsidRPr="00E77C7F">
        <w:t xml:space="preserve">to obtain the full RTD from the UE to land-based </w:t>
      </w:r>
      <w:proofErr w:type="spellStart"/>
      <w:r w:rsidR="00B01EB8" w:rsidRPr="00E77C7F">
        <w:t>gNB</w:t>
      </w:r>
      <w:proofErr w:type="spellEnd"/>
      <w:r w:rsidR="00B01EB8">
        <w:t xml:space="preserve"> and facilitate </w:t>
      </w:r>
      <w:r w:rsidR="00B01EB8" w:rsidRPr="00EE5C2E">
        <w:t>UE-specific delay timing pre-compensation</w:t>
      </w:r>
      <w:r w:rsidR="00B01EB8" w:rsidRPr="00E77C7F">
        <w:t xml:space="preserve">, </w:t>
      </w:r>
      <w:r w:rsidR="00B01EB8">
        <w:t xml:space="preserve">the proposed </w:t>
      </w:r>
      <w:r w:rsidR="00B01EB8" w:rsidRPr="00627F32">
        <w:rPr>
          <w:b/>
          <w:bCs/>
        </w:rPr>
        <w:t>Option1</w:t>
      </w:r>
      <w:r w:rsidR="00B01EB8">
        <w:t xml:space="preserve"> </w:t>
      </w:r>
      <w:r w:rsidR="00B01EB8" w:rsidRPr="00E77C7F">
        <w:t xml:space="preserve">requires UE </w:t>
      </w:r>
      <w:r w:rsidR="00B01EB8">
        <w:t xml:space="preserve">to </w:t>
      </w:r>
      <w:r w:rsidR="00B01EB8" w:rsidRPr="00E77C7F">
        <w:t xml:space="preserve">estimate delay for service link (from satellite to UE) </w:t>
      </w:r>
      <w:r w:rsidR="00B01EB8">
        <w:t>based on its GNSS acquired position together with the serving satellite ephemeris data.</w:t>
      </w:r>
      <w:r w:rsidR="00B01EB8" w:rsidRPr="00044F4C">
        <w:rPr>
          <w:lang w:val="en-US"/>
        </w:rPr>
        <w:t xml:space="preserve"> </w:t>
      </w:r>
      <w:r w:rsidR="00B01EB8">
        <w:rPr>
          <w:lang w:val="en-US"/>
        </w:rPr>
        <w:t xml:space="preserve">However, it is not clear how the delay from </w:t>
      </w:r>
      <w:proofErr w:type="spellStart"/>
      <w:r w:rsidR="00B01EB8">
        <w:rPr>
          <w:lang w:val="en-US"/>
        </w:rPr>
        <w:t>gNB</w:t>
      </w:r>
      <w:proofErr w:type="spellEnd"/>
      <w:r w:rsidR="00B01EB8">
        <w:rPr>
          <w:lang w:val="en-US"/>
        </w:rPr>
        <w:t xml:space="preserve"> to satellite should be acquired by UE.</w:t>
      </w:r>
    </w:p>
    <w:p w14:paraId="02A46DA5" w14:textId="76163639" w:rsidR="00044F4C" w:rsidRDefault="009844AA" w:rsidP="00823FFB">
      <w:pPr>
        <w:rPr>
          <w:lang w:val="en-US"/>
        </w:rPr>
      </w:pPr>
      <w:r>
        <w:rPr>
          <w:lang w:val="en-US"/>
        </w:rPr>
        <w:t xml:space="preserve">To get common delay from </w:t>
      </w:r>
      <w:proofErr w:type="spellStart"/>
      <w:r>
        <w:rPr>
          <w:lang w:val="en-US"/>
        </w:rPr>
        <w:t>gNB</w:t>
      </w:r>
      <w:proofErr w:type="spellEnd"/>
      <w:r>
        <w:rPr>
          <w:lang w:val="en-US"/>
        </w:rPr>
        <w:t xml:space="preserve"> to satellite, t</w:t>
      </w:r>
      <w:r w:rsidR="00044F4C">
        <w:rPr>
          <w:lang w:val="en-US"/>
        </w:rPr>
        <w:t>wo alternative solutions are possible</w:t>
      </w:r>
      <w:r w:rsidR="00603AB1">
        <w:rPr>
          <w:lang w:val="en-US"/>
        </w:rPr>
        <w:t>:</w:t>
      </w:r>
    </w:p>
    <w:p w14:paraId="0920DB26" w14:textId="03EC4D75" w:rsidR="00044F4C" w:rsidRPr="00044F4C" w:rsidRDefault="00044F4C" w:rsidP="00044F4C">
      <w:pPr>
        <w:pStyle w:val="ListParagraph"/>
        <w:numPr>
          <w:ilvl w:val="0"/>
          <w:numId w:val="15"/>
        </w:numPr>
        <w:rPr>
          <w:rFonts w:ascii="Times New Roman" w:eastAsia="宋体" w:hAnsi="Times New Roman"/>
          <w:sz w:val="20"/>
          <w:szCs w:val="20"/>
        </w:rPr>
      </w:pPr>
      <w:r w:rsidRPr="00603AB1">
        <w:rPr>
          <w:rFonts w:ascii="Times New Roman" w:eastAsia="宋体" w:hAnsi="Times New Roman"/>
          <w:b/>
          <w:bCs/>
          <w:sz w:val="20"/>
          <w:szCs w:val="20"/>
        </w:rPr>
        <w:t>Alt1</w:t>
      </w:r>
      <w:r w:rsidRPr="00044F4C">
        <w:rPr>
          <w:rFonts w:ascii="Times New Roman" w:eastAsia="宋体" w:hAnsi="Times New Roman"/>
          <w:sz w:val="20"/>
          <w:szCs w:val="20"/>
        </w:rPr>
        <w:t xml:space="preserve">: </w:t>
      </w:r>
      <w:r w:rsidR="00D94BA1">
        <w:rPr>
          <w:rFonts w:ascii="Times New Roman" w:eastAsia="宋体" w:hAnsi="Times New Roman"/>
          <w:sz w:val="20"/>
          <w:szCs w:val="20"/>
        </w:rPr>
        <w:t xml:space="preserve">UE estimated </w:t>
      </w:r>
      <w:r w:rsidR="003556B6">
        <w:rPr>
          <w:rFonts w:ascii="Times New Roman" w:eastAsia="宋体" w:hAnsi="Times New Roman"/>
          <w:sz w:val="20"/>
          <w:szCs w:val="20"/>
        </w:rPr>
        <w:t xml:space="preserve">common delay. </w:t>
      </w:r>
      <w:r>
        <w:rPr>
          <w:rFonts w:ascii="Times New Roman" w:eastAsia="宋体" w:hAnsi="Times New Roman"/>
          <w:sz w:val="20"/>
          <w:szCs w:val="20"/>
        </w:rPr>
        <w:t>T</w:t>
      </w:r>
      <w:r w:rsidRPr="00044F4C">
        <w:rPr>
          <w:rFonts w:ascii="Times New Roman" w:eastAsia="宋体" w:hAnsi="Times New Roman"/>
          <w:sz w:val="20"/>
          <w:szCs w:val="20"/>
        </w:rPr>
        <w:t xml:space="preserve">he UE need to know the </w:t>
      </w:r>
      <w:r w:rsidR="00287897">
        <w:rPr>
          <w:rFonts w:ascii="Times New Roman" w:eastAsia="宋体" w:hAnsi="Times New Roman"/>
          <w:sz w:val="20"/>
          <w:szCs w:val="20"/>
        </w:rPr>
        <w:t>ground station</w:t>
      </w:r>
      <w:r w:rsidR="00F67475">
        <w:rPr>
          <w:rFonts w:ascii="Times New Roman" w:eastAsia="宋体" w:hAnsi="Times New Roman"/>
          <w:sz w:val="20"/>
          <w:szCs w:val="20"/>
        </w:rPr>
        <w:t>/gateway</w:t>
      </w:r>
      <w:r w:rsidRPr="00044F4C">
        <w:rPr>
          <w:rFonts w:ascii="Times New Roman" w:eastAsia="宋体" w:hAnsi="Times New Roman"/>
          <w:sz w:val="20"/>
          <w:szCs w:val="20"/>
        </w:rPr>
        <w:t xml:space="preserve"> location and use satellite ephemeris to calculate the feeder link component</w:t>
      </w:r>
      <w:r w:rsidR="00287897">
        <w:rPr>
          <w:rFonts w:ascii="Times New Roman" w:eastAsia="宋体" w:hAnsi="Times New Roman"/>
          <w:sz w:val="20"/>
          <w:szCs w:val="20"/>
        </w:rPr>
        <w:t xml:space="preserve">, together with </w:t>
      </w:r>
      <w:r w:rsidR="00287897" w:rsidRPr="00287897">
        <w:rPr>
          <w:rFonts w:ascii="Times New Roman" w:eastAsia="宋体" w:hAnsi="Times New Roman"/>
          <w:sz w:val="20"/>
          <w:szCs w:val="20"/>
        </w:rPr>
        <w:t>satellite processing times</w:t>
      </w:r>
      <w:r w:rsidR="003E6CC6">
        <w:rPr>
          <w:rFonts w:ascii="Times New Roman" w:eastAsia="宋体" w:hAnsi="Times New Roman"/>
          <w:sz w:val="20"/>
          <w:szCs w:val="20"/>
        </w:rPr>
        <w:t xml:space="preserve"> as well as delay from </w:t>
      </w:r>
      <w:proofErr w:type="spellStart"/>
      <w:r w:rsidR="003E6CC6">
        <w:rPr>
          <w:rFonts w:ascii="Times New Roman" w:eastAsia="宋体" w:hAnsi="Times New Roman"/>
          <w:sz w:val="20"/>
          <w:szCs w:val="20"/>
        </w:rPr>
        <w:t>gNB</w:t>
      </w:r>
      <w:proofErr w:type="spellEnd"/>
      <w:r w:rsidR="003E6CC6">
        <w:rPr>
          <w:rFonts w:ascii="Times New Roman" w:eastAsia="宋体" w:hAnsi="Times New Roman"/>
          <w:sz w:val="20"/>
          <w:szCs w:val="20"/>
        </w:rPr>
        <w:t xml:space="preserve"> to ground station</w:t>
      </w:r>
      <w:r w:rsidR="009844AA">
        <w:rPr>
          <w:rFonts w:ascii="Times New Roman" w:eastAsia="宋体" w:hAnsi="Times New Roman"/>
          <w:sz w:val="20"/>
          <w:szCs w:val="20"/>
        </w:rPr>
        <w:t xml:space="preserve">. </w:t>
      </w:r>
    </w:p>
    <w:p w14:paraId="02429503" w14:textId="0B8A58DE" w:rsidR="00287897" w:rsidRDefault="00044F4C" w:rsidP="00044F4C">
      <w:pPr>
        <w:pStyle w:val="ListParagraph"/>
        <w:numPr>
          <w:ilvl w:val="0"/>
          <w:numId w:val="15"/>
        </w:numPr>
        <w:rPr>
          <w:rFonts w:ascii="Times New Roman" w:eastAsia="宋体" w:hAnsi="Times New Roman"/>
          <w:sz w:val="20"/>
          <w:szCs w:val="20"/>
        </w:rPr>
      </w:pPr>
      <w:r w:rsidRPr="00603AB1">
        <w:rPr>
          <w:rFonts w:ascii="Times New Roman" w:eastAsia="宋体" w:hAnsi="Times New Roman"/>
          <w:b/>
          <w:bCs/>
          <w:sz w:val="20"/>
          <w:szCs w:val="20"/>
        </w:rPr>
        <w:t>Alt2</w:t>
      </w:r>
      <w:r w:rsidRPr="00044F4C">
        <w:rPr>
          <w:rFonts w:ascii="Times New Roman" w:eastAsia="宋体" w:hAnsi="Times New Roman"/>
          <w:sz w:val="20"/>
          <w:szCs w:val="20"/>
        </w:rPr>
        <w:t xml:space="preserve">: </w:t>
      </w:r>
      <w:r>
        <w:rPr>
          <w:rFonts w:ascii="Times New Roman" w:eastAsia="宋体" w:hAnsi="Times New Roman"/>
          <w:sz w:val="20"/>
          <w:szCs w:val="20"/>
        </w:rPr>
        <w:t xml:space="preserve">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broadcast common </w:t>
      </w:r>
      <w:r w:rsidR="00287897">
        <w:rPr>
          <w:rFonts w:ascii="Times New Roman" w:eastAsia="宋体" w:hAnsi="Times New Roman"/>
          <w:sz w:val="20"/>
          <w:szCs w:val="20"/>
        </w:rPr>
        <w:t>delay</w:t>
      </w:r>
      <w:r w:rsidR="00603AB1">
        <w:rPr>
          <w:rFonts w:ascii="Times New Roman" w:eastAsia="宋体" w:hAnsi="Times New Roman"/>
          <w:sz w:val="20"/>
          <w:szCs w:val="20"/>
        </w:rPr>
        <w:t xml:space="preserve"> (</w:t>
      </w:r>
      <w:r w:rsidR="00287897">
        <w:rPr>
          <w:rFonts w:ascii="Times New Roman" w:eastAsia="宋体" w:hAnsi="Times New Roman"/>
          <w:sz w:val="20"/>
          <w:szCs w:val="20"/>
        </w:rPr>
        <w:t xml:space="preserve">from </w:t>
      </w:r>
      <w:proofErr w:type="spellStart"/>
      <w:r w:rsidR="00287897">
        <w:rPr>
          <w:rFonts w:ascii="Times New Roman" w:eastAsia="宋体" w:hAnsi="Times New Roman"/>
          <w:sz w:val="20"/>
          <w:szCs w:val="20"/>
        </w:rPr>
        <w:t>gNB</w:t>
      </w:r>
      <w:proofErr w:type="spellEnd"/>
      <w:r w:rsidR="00287897">
        <w:rPr>
          <w:rFonts w:ascii="Times New Roman" w:eastAsia="宋体" w:hAnsi="Times New Roman"/>
          <w:sz w:val="20"/>
          <w:szCs w:val="20"/>
        </w:rPr>
        <w:t xml:space="preserve"> to satellite</w:t>
      </w:r>
      <w:r w:rsidR="00603AB1">
        <w:rPr>
          <w:rFonts w:ascii="Times New Roman" w:eastAsia="宋体" w:hAnsi="Times New Roman"/>
          <w:sz w:val="20"/>
          <w:szCs w:val="20"/>
        </w:rPr>
        <w:t>) to UE</w:t>
      </w:r>
      <w:r>
        <w:rPr>
          <w:rFonts w:ascii="Times New Roman" w:eastAsia="宋体" w:hAnsi="Times New Roman"/>
          <w:sz w:val="20"/>
          <w:szCs w:val="20"/>
        </w:rPr>
        <w:t xml:space="preserve">, </w:t>
      </w:r>
      <w:r w:rsidR="00287897">
        <w:rPr>
          <w:rFonts w:ascii="Times New Roman" w:eastAsia="宋体" w:hAnsi="Times New Roman"/>
          <w:sz w:val="20"/>
          <w:szCs w:val="20"/>
        </w:rPr>
        <w:t xml:space="preserve">including </w:t>
      </w:r>
      <w:proofErr w:type="spellStart"/>
      <w:r w:rsidR="009844AA">
        <w:rPr>
          <w:rFonts w:ascii="Times New Roman" w:eastAsia="宋体" w:hAnsi="Times New Roman"/>
          <w:sz w:val="20"/>
          <w:szCs w:val="20"/>
        </w:rPr>
        <w:t>gNB</w:t>
      </w:r>
      <w:proofErr w:type="spellEnd"/>
      <w:r w:rsidR="009844AA">
        <w:rPr>
          <w:rFonts w:ascii="Times New Roman" w:eastAsia="宋体" w:hAnsi="Times New Roman"/>
          <w:sz w:val="20"/>
          <w:szCs w:val="20"/>
        </w:rPr>
        <w:t xml:space="preserve"> calculated </w:t>
      </w:r>
      <w:r w:rsidR="00287897">
        <w:rPr>
          <w:rFonts w:ascii="Times New Roman" w:eastAsia="宋体" w:hAnsi="Times New Roman"/>
          <w:sz w:val="20"/>
          <w:szCs w:val="20"/>
        </w:rPr>
        <w:t>feeder link delay</w:t>
      </w:r>
      <w:r w:rsidR="003E6CC6">
        <w:rPr>
          <w:rFonts w:ascii="Times New Roman" w:eastAsia="宋体" w:hAnsi="Times New Roman"/>
          <w:sz w:val="20"/>
          <w:szCs w:val="20"/>
        </w:rPr>
        <w:t xml:space="preserve">, </w:t>
      </w:r>
      <w:r w:rsidR="00287897">
        <w:rPr>
          <w:rFonts w:ascii="Times New Roman" w:eastAsia="宋体" w:hAnsi="Times New Roman"/>
          <w:sz w:val="20"/>
          <w:szCs w:val="20"/>
        </w:rPr>
        <w:t>satellite processing times</w:t>
      </w:r>
      <w:r w:rsidR="003E6CC6">
        <w:rPr>
          <w:rFonts w:ascii="Times New Roman" w:eastAsia="宋体" w:hAnsi="Times New Roman"/>
          <w:sz w:val="20"/>
          <w:szCs w:val="20"/>
        </w:rPr>
        <w:t xml:space="preserve"> as well as delay from </w:t>
      </w:r>
      <w:proofErr w:type="spellStart"/>
      <w:r w:rsidR="003E6CC6">
        <w:rPr>
          <w:rFonts w:ascii="Times New Roman" w:eastAsia="宋体" w:hAnsi="Times New Roman"/>
          <w:sz w:val="20"/>
          <w:szCs w:val="20"/>
        </w:rPr>
        <w:t>gNB</w:t>
      </w:r>
      <w:proofErr w:type="spellEnd"/>
      <w:r w:rsidR="003E6CC6">
        <w:rPr>
          <w:rFonts w:ascii="Times New Roman" w:eastAsia="宋体" w:hAnsi="Times New Roman"/>
          <w:sz w:val="20"/>
          <w:szCs w:val="20"/>
        </w:rPr>
        <w:t xml:space="preserve"> to ground station</w:t>
      </w:r>
      <w:r w:rsidR="00287897">
        <w:rPr>
          <w:rFonts w:ascii="Times New Roman" w:eastAsia="宋体" w:hAnsi="Times New Roman"/>
          <w:sz w:val="20"/>
          <w:szCs w:val="20"/>
        </w:rPr>
        <w:t>.</w:t>
      </w:r>
    </w:p>
    <w:p w14:paraId="43172C44" w14:textId="2F0ECCC5" w:rsidR="00F92211" w:rsidRDefault="00F92211" w:rsidP="00F92211">
      <w:pPr>
        <w:jc w:val="center"/>
      </w:pPr>
      <w:r>
        <w:rPr>
          <w:noProof/>
        </w:rPr>
        <w:drawing>
          <wp:inline distT="0" distB="0" distL="0" distR="0" wp14:anchorId="710DF20D" wp14:editId="1F176034">
            <wp:extent cx="3746500" cy="2150128"/>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746500" cy="2150128"/>
                    </a:xfrm>
                    <a:prstGeom prst="rect">
                      <a:avLst/>
                    </a:prstGeom>
                  </pic:spPr>
                </pic:pic>
              </a:graphicData>
            </a:graphic>
          </wp:inline>
        </w:drawing>
      </w:r>
    </w:p>
    <w:p w14:paraId="299C0EFD" w14:textId="00910468" w:rsidR="00F92211" w:rsidRPr="00B52FD9" w:rsidRDefault="00F92211" w:rsidP="00F92211">
      <w:pPr>
        <w:pStyle w:val="Caption"/>
        <w:jc w:val="center"/>
        <w:rPr>
          <w:i w:val="0"/>
          <w:iCs w:val="0"/>
          <w:color w:val="auto"/>
          <w:sz w:val="20"/>
          <w:szCs w:val="20"/>
          <w:lang w:val="en-US"/>
        </w:rPr>
      </w:pPr>
      <w:r w:rsidRPr="00B52FD9">
        <w:rPr>
          <w:i w:val="0"/>
          <w:iCs w:val="0"/>
          <w:color w:val="auto"/>
          <w:sz w:val="20"/>
          <w:szCs w:val="20"/>
          <w:lang w:val="en-US"/>
        </w:rPr>
        <w:t xml:space="preserve">Figure </w:t>
      </w:r>
      <w:proofErr w:type="gramStart"/>
      <w:r w:rsidRPr="00B52FD9">
        <w:rPr>
          <w:i w:val="0"/>
          <w:iCs w:val="0"/>
          <w:color w:val="auto"/>
          <w:sz w:val="20"/>
          <w:szCs w:val="20"/>
          <w:lang w:val="en-US"/>
        </w:rPr>
        <w:t>2  Full</w:t>
      </w:r>
      <w:proofErr w:type="gramEnd"/>
      <w:r w:rsidRPr="00B52FD9">
        <w:rPr>
          <w:i w:val="0"/>
          <w:iCs w:val="0"/>
          <w:color w:val="auto"/>
          <w:sz w:val="20"/>
          <w:szCs w:val="20"/>
          <w:lang w:val="en-US"/>
        </w:rPr>
        <w:t xml:space="preserve"> RTD from </w:t>
      </w:r>
      <w:proofErr w:type="spellStart"/>
      <w:r w:rsidRPr="00B52FD9">
        <w:rPr>
          <w:i w:val="0"/>
          <w:iCs w:val="0"/>
          <w:color w:val="auto"/>
          <w:sz w:val="20"/>
          <w:szCs w:val="20"/>
          <w:lang w:val="en-US"/>
        </w:rPr>
        <w:t>gNB</w:t>
      </w:r>
      <w:proofErr w:type="spellEnd"/>
      <w:r w:rsidRPr="00B52FD9">
        <w:rPr>
          <w:i w:val="0"/>
          <w:iCs w:val="0"/>
          <w:color w:val="auto"/>
          <w:sz w:val="20"/>
          <w:szCs w:val="20"/>
          <w:lang w:val="en-US"/>
        </w:rPr>
        <w:t xml:space="preserve"> to UE</w:t>
      </w:r>
    </w:p>
    <w:p w14:paraId="0C6FB969" w14:textId="403818AB" w:rsidR="00603AB1" w:rsidRDefault="00603AB1" w:rsidP="00603AB1">
      <w:r>
        <w:t xml:space="preserve">For </w:t>
      </w:r>
      <w:r w:rsidRPr="00603AB1">
        <w:rPr>
          <w:b/>
          <w:bCs/>
        </w:rPr>
        <w:t>Alt1</w:t>
      </w:r>
      <w:r>
        <w:t xml:space="preserve">, </w:t>
      </w:r>
      <w:r w:rsidR="00582807">
        <w:t xml:space="preserve">one issue is that, </w:t>
      </w:r>
      <w:r>
        <w:t>ground station</w:t>
      </w:r>
      <w:r w:rsidRPr="00603AB1">
        <w:t xml:space="preserve"> location</w:t>
      </w:r>
      <w:r>
        <w:t xml:space="preserve"> needs to expose to all the UEs which may have security concerns from operator. Furthermore, a continuous estimation of the changing delay may imply a significant processing burden on the UE.</w:t>
      </w:r>
      <w:r w:rsidR="00582807">
        <w:t xml:space="preserve"> It seems Alt2 is more feasible.</w:t>
      </w:r>
    </w:p>
    <w:p w14:paraId="559B27E4" w14:textId="706D4D63" w:rsidR="00603AB1" w:rsidRPr="00971571" w:rsidRDefault="00603AB1" w:rsidP="00603AB1">
      <w:pPr>
        <w:rPr>
          <w:b/>
          <w:bCs/>
        </w:rPr>
      </w:pPr>
      <w:r>
        <w:rPr>
          <w:b/>
          <w:bCs/>
        </w:rPr>
        <w:t xml:space="preserve">Observation 7: </w:t>
      </w:r>
      <w:proofErr w:type="spellStart"/>
      <w:r w:rsidR="00582807">
        <w:rPr>
          <w:b/>
          <w:bCs/>
        </w:rPr>
        <w:t>gNB</w:t>
      </w:r>
      <w:proofErr w:type="spellEnd"/>
      <w:r w:rsidR="00582807">
        <w:rPr>
          <w:b/>
          <w:bCs/>
        </w:rPr>
        <w:t xml:space="preserve"> need to broadcast common delay (from </w:t>
      </w:r>
      <w:proofErr w:type="spellStart"/>
      <w:r w:rsidR="00582807">
        <w:rPr>
          <w:b/>
          <w:bCs/>
        </w:rPr>
        <w:t>gNB</w:t>
      </w:r>
      <w:proofErr w:type="spellEnd"/>
      <w:r w:rsidR="00582807">
        <w:rPr>
          <w:b/>
          <w:bCs/>
        </w:rPr>
        <w:t xml:space="preserve"> to satellite) to UE, to facilitate UE specific delay estimation based on its GNSS acquired position together with the serving satellite ephemeris data</w:t>
      </w:r>
      <w:r w:rsidRPr="00971571">
        <w:rPr>
          <w:b/>
          <w:bCs/>
        </w:rPr>
        <w:t>.</w:t>
      </w:r>
    </w:p>
    <w:p w14:paraId="1CAAC355" w14:textId="18EA6E93" w:rsidR="000047E3" w:rsidRDefault="00620F3F" w:rsidP="00603AB1">
      <w:r>
        <w:lastRenderedPageBreak/>
        <w:t>Based on</w:t>
      </w:r>
      <w:r w:rsidR="003E6CC6">
        <w:t xml:space="preserve"> </w:t>
      </w:r>
      <w:proofErr w:type="spellStart"/>
      <w:r>
        <w:t>gNB</w:t>
      </w:r>
      <w:proofErr w:type="spellEnd"/>
      <w:r>
        <w:t xml:space="preserve"> broadcasted common delay</w:t>
      </w:r>
      <w:r w:rsidR="0043104B">
        <w:t xml:space="preserve"> </w:t>
      </w:r>
      <w:r w:rsidR="003E6CC6">
        <w:t>and UE estimate</w:t>
      </w:r>
      <w:r w:rsidR="0043104B">
        <w:t>d</w:t>
      </w:r>
      <w:r w:rsidR="003E6CC6">
        <w:t xml:space="preserve"> delay from satellite to UE, the </w:t>
      </w:r>
      <w:r w:rsidR="00E22CED">
        <w:t xml:space="preserve">UE-specific </w:t>
      </w:r>
      <w:r w:rsidR="003E6CC6">
        <w:t xml:space="preserve">full RTD from </w:t>
      </w:r>
      <w:proofErr w:type="spellStart"/>
      <w:r w:rsidR="003E6CC6">
        <w:t>gNB</w:t>
      </w:r>
      <w:proofErr w:type="spellEnd"/>
      <w:r w:rsidR="003E6CC6">
        <w:t xml:space="preserve"> to UE can be calculated with the sum of </w:t>
      </w:r>
      <w:r w:rsidR="003E6CC6" w:rsidRPr="003E6CC6">
        <w:t xml:space="preserve">UE </w:t>
      </w:r>
      <w:r w:rsidR="002A0A70">
        <w:t>estimated</w:t>
      </w:r>
      <w:r w:rsidR="003E6CC6" w:rsidRPr="003E6CC6">
        <w:t xml:space="preserve"> </w:t>
      </w:r>
      <w:r w:rsidR="009E7F4B">
        <w:t>serving link delay</w:t>
      </w:r>
      <w:r w:rsidR="003E6CC6" w:rsidRPr="003E6CC6">
        <w:t xml:space="preserve"> </w:t>
      </w:r>
      <w:r w:rsidR="003E6CC6">
        <w:t>and</w:t>
      </w:r>
      <w:r w:rsidR="003E6CC6" w:rsidRPr="003E6CC6">
        <w:t xml:space="preserve"> </w:t>
      </w:r>
      <w:r w:rsidR="009E7F4B">
        <w:t>common delay</w:t>
      </w:r>
      <w:r w:rsidR="003E6CC6">
        <w:t>.</w:t>
      </w:r>
      <w:r w:rsidR="00F67475">
        <w:t xml:space="preserve"> </w:t>
      </w:r>
      <w:r w:rsidR="00F55A2A">
        <w:t xml:space="preserve">As discussed in email discussion </w:t>
      </w:r>
      <w:r w:rsidR="00F55A2A" w:rsidRPr="004713EB">
        <w:t>[Post111-e][</w:t>
      </w:r>
      <w:proofErr w:type="gramStart"/>
      <w:r w:rsidR="00F55A2A" w:rsidRPr="004713EB">
        <w:t>908][</w:t>
      </w:r>
      <w:proofErr w:type="gramEnd"/>
      <w:r w:rsidR="00F55A2A" w:rsidRPr="004713EB">
        <w:t>NTN] RACH and HARQ feedback aspects</w:t>
      </w:r>
      <w:r w:rsidR="00F55A2A">
        <w:t>, to avoid p</w:t>
      </w:r>
      <w:r w:rsidR="00F55A2A" w:rsidRPr="00F55A2A">
        <w:t xml:space="preserve">reamble </w:t>
      </w:r>
      <w:r w:rsidR="00F55A2A">
        <w:t>a</w:t>
      </w:r>
      <w:r w:rsidR="00F55A2A" w:rsidRPr="00F55A2A">
        <w:t>mbiguity</w:t>
      </w:r>
      <w:r w:rsidR="00F55A2A">
        <w:t xml:space="preserve">, UE should apply the exact UE-specific full RTD before sending Msg1. Similarly, to avoid extension </w:t>
      </w:r>
      <w:r w:rsidR="00F55A2A" w:rsidRPr="00F55A2A">
        <w:t xml:space="preserve">of the </w:t>
      </w:r>
      <w:proofErr w:type="spellStart"/>
      <w:r w:rsidR="00F55A2A" w:rsidRPr="00F55A2A">
        <w:t>ra-ResponseWindow</w:t>
      </w:r>
      <w:proofErr w:type="spellEnd"/>
      <w:r w:rsidR="00F55A2A" w:rsidRPr="00F55A2A">
        <w:rPr>
          <w:i/>
          <w:iCs/>
        </w:rPr>
        <w:t>/</w:t>
      </w:r>
      <w:proofErr w:type="spellStart"/>
      <w:r w:rsidR="00F55A2A" w:rsidRPr="00F55A2A">
        <w:rPr>
          <w:i/>
          <w:iCs/>
        </w:rPr>
        <w:t>ra-ContentionResolutionTimer</w:t>
      </w:r>
      <w:proofErr w:type="spellEnd"/>
      <w:r w:rsidR="00F55A2A">
        <w:t>, the exact UE-specific full RTD should be applied as offset to start</w:t>
      </w:r>
      <w:r w:rsidR="000047E3">
        <w:t xml:space="preserve"> timers</w:t>
      </w:r>
      <w:r w:rsidR="00F55A2A">
        <w:t>.</w:t>
      </w:r>
    </w:p>
    <w:p w14:paraId="2F8F475F" w14:textId="697DA760" w:rsidR="00582807" w:rsidRDefault="002A0A70" w:rsidP="00603AB1">
      <w:r>
        <w:t>However, i</w:t>
      </w:r>
      <w:r w:rsidR="003E6CC6">
        <w:t xml:space="preserve">n </w:t>
      </w:r>
      <w:r w:rsidR="00E77C7F">
        <w:t xml:space="preserve">the </w:t>
      </w:r>
      <w:r w:rsidR="00582807">
        <w:t>satellite moving scenario</w:t>
      </w:r>
      <w:r w:rsidR="003E6CC6">
        <w:t xml:space="preserve"> </w:t>
      </w:r>
      <w:r w:rsidR="00582807">
        <w:t>where the feeder link delay will change frequently</w:t>
      </w:r>
      <w:r w:rsidR="003E6CC6">
        <w:t xml:space="preserve"> as illustrated in Section 2.1</w:t>
      </w:r>
      <w:r w:rsidR="00582807">
        <w:t xml:space="preserve">, the </w:t>
      </w:r>
      <w:proofErr w:type="spellStart"/>
      <w:r w:rsidR="003E6CC6">
        <w:t>gNB</w:t>
      </w:r>
      <w:proofErr w:type="spellEnd"/>
      <w:r w:rsidR="003E6CC6">
        <w:t xml:space="preserve"> need to </w:t>
      </w:r>
      <w:r w:rsidR="00582807">
        <w:t xml:space="preserve">frequent </w:t>
      </w:r>
      <w:r w:rsidR="003E6CC6">
        <w:t xml:space="preserve">update </w:t>
      </w:r>
      <w:r w:rsidR="00582807">
        <w:t xml:space="preserve">common delay changes with the moving of satellite </w:t>
      </w:r>
      <w:r w:rsidR="003E6CC6">
        <w:t xml:space="preserve">which </w:t>
      </w:r>
      <w:r w:rsidR="00582807">
        <w:t xml:space="preserve">may cause the </w:t>
      </w:r>
      <w:r>
        <w:t>system information</w:t>
      </w:r>
      <w:r w:rsidR="00582807">
        <w:t xml:space="preserve"> change to happen frequently.</w:t>
      </w:r>
      <w:r w:rsidR="003E6CC6">
        <w:t xml:space="preserve"> Otherwise, the </w:t>
      </w:r>
      <w:r w:rsidR="00E22CED">
        <w:t xml:space="preserve">UE-specific </w:t>
      </w:r>
      <w:r>
        <w:t xml:space="preserve">full RTD from </w:t>
      </w:r>
      <w:proofErr w:type="spellStart"/>
      <w:r>
        <w:t>gNB</w:t>
      </w:r>
      <w:proofErr w:type="spellEnd"/>
      <w:r>
        <w:t xml:space="preserve"> to UE is not accurate </w:t>
      </w:r>
      <w:r w:rsidR="00F55A2A">
        <w:t>which</w:t>
      </w:r>
      <w:r>
        <w:t xml:space="preserve"> cannot be used as </w:t>
      </w:r>
      <w:r w:rsidR="00F55A2A">
        <w:t>UE-</w:t>
      </w:r>
      <w:r w:rsidR="4E86D370">
        <w:t>specific</w:t>
      </w:r>
      <w:r w:rsidR="00F55A2A">
        <w:t xml:space="preserve"> pre-compensation</w:t>
      </w:r>
      <w:r w:rsidR="000047E3">
        <w:t xml:space="preserve"> to avoid preamble ambiguity as well as timer extension.</w:t>
      </w:r>
    </w:p>
    <w:p w14:paraId="6BA084B2" w14:textId="1BA23FCB" w:rsidR="003E6CC6" w:rsidRDefault="003E6CC6" w:rsidP="003E6CC6">
      <w:pPr>
        <w:rPr>
          <w:b/>
        </w:rPr>
      </w:pPr>
      <w:r>
        <w:rPr>
          <w:b/>
          <w:bCs/>
        </w:rPr>
        <w:t xml:space="preserve">Observation 8: </w:t>
      </w:r>
      <w:r w:rsidR="002A0A70" w:rsidRPr="00216C65">
        <w:rPr>
          <w:b/>
        </w:rPr>
        <w:t>In satellite moving scenario,</w:t>
      </w:r>
      <w:r w:rsidR="002A0A70">
        <w:rPr>
          <w:b/>
        </w:rPr>
        <w:t xml:space="preserve"> </w:t>
      </w:r>
      <w:proofErr w:type="spellStart"/>
      <w:r w:rsidR="002A0A70">
        <w:rPr>
          <w:b/>
        </w:rPr>
        <w:t>gNB</w:t>
      </w:r>
      <w:proofErr w:type="spellEnd"/>
      <w:r w:rsidR="002A0A70">
        <w:rPr>
          <w:b/>
        </w:rPr>
        <w:t xml:space="preserve"> broadcasted common delay need to be updated frequently which may cause the system information change </w:t>
      </w:r>
      <w:r w:rsidR="009844AA">
        <w:rPr>
          <w:b/>
        </w:rPr>
        <w:t>to happen</w:t>
      </w:r>
      <w:r w:rsidR="002A0A70">
        <w:rPr>
          <w:b/>
        </w:rPr>
        <w:t xml:space="preserve"> frequently</w:t>
      </w:r>
      <w:r w:rsidR="009844AA">
        <w:rPr>
          <w:b/>
        </w:rPr>
        <w:t xml:space="preserve"> and cause the </w:t>
      </w:r>
      <w:r w:rsidR="009844AA" w:rsidRPr="00196B62">
        <w:rPr>
          <w:b/>
        </w:rPr>
        <w:t xml:space="preserve">increase </w:t>
      </w:r>
      <w:r w:rsidR="009844AA">
        <w:rPr>
          <w:b/>
        </w:rPr>
        <w:t xml:space="preserve">of </w:t>
      </w:r>
      <w:r w:rsidR="00072A05">
        <w:rPr>
          <w:b/>
        </w:rPr>
        <w:t>signalling</w:t>
      </w:r>
      <w:r w:rsidR="009844AA" w:rsidRPr="00196B62">
        <w:rPr>
          <w:b/>
        </w:rPr>
        <w:t xml:space="preserve"> overhead</w:t>
      </w:r>
      <w:r w:rsidR="002A0A70">
        <w:rPr>
          <w:b/>
        </w:rPr>
        <w:t>.</w:t>
      </w:r>
    </w:p>
    <w:p w14:paraId="51D0E618" w14:textId="783073D2" w:rsidR="008639D5" w:rsidRDefault="008639D5" w:rsidP="4FE0B844">
      <w:pPr>
        <w:rPr>
          <w:b/>
          <w:bCs/>
        </w:rPr>
      </w:pPr>
      <w:r w:rsidRPr="4FE0B844">
        <w:rPr>
          <w:b/>
          <w:bCs/>
        </w:rPr>
        <w:t xml:space="preserve">Proposal </w:t>
      </w:r>
      <w:r w:rsidR="00182E5B">
        <w:rPr>
          <w:b/>
          <w:bCs/>
        </w:rPr>
        <w:t>3</w:t>
      </w:r>
      <w:r w:rsidRPr="4FE0B844">
        <w:rPr>
          <w:b/>
          <w:bCs/>
        </w:rPr>
        <w:t>:</w:t>
      </w:r>
      <w:r w:rsidR="00470841" w:rsidRPr="4FE0B844">
        <w:rPr>
          <w:b/>
          <w:bCs/>
        </w:rPr>
        <w:t xml:space="preserve"> RAN2 need to address the common delay update issue in satellite moving scenarios</w:t>
      </w:r>
      <w:r w:rsidR="006C2B17">
        <w:rPr>
          <w:b/>
          <w:bCs/>
        </w:rPr>
        <w:t xml:space="preserve">, </w:t>
      </w:r>
      <w:r w:rsidR="00A75861">
        <w:rPr>
          <w:b/>
          <w:bCs/>
        </w:rPr>
        <w:t>to enable</w:t>
      </w:r>
      <w:r w:rsidR="000B2FE6">
        <w:rPr>
          <w:b/>
          <w:bCs/>
        </w:rPr>
        <w:t xml:space="preserve"> UE-s</w:t>
      </w:r>
      <w:r w:rsidR="00470841" w:rsidRPr="4FE0B844">
        <w:rPr>
          <w:b/>
          <w:bCs/>
        </w:rPr>
        <w:t>pecific delay timing pre-compensation</w:t>
      </w:r>
      <w:r w:rsidR="000B2FE6">
        <w:rPr>
          <w:b/>
          <w:bCs/>
        </w:rPr>
        <w:t xml:space="preserve"> </w:t>
      </w:r>
      <w:r w:rsidR="00660BB6">
        <w:rPr>
          <w:b/>
          <w:bCs/>
        </w:rPr>
        <w:t>based on GNSS acquired position</w:t>
      </w:r>
      <w:r w:rsidR="00470841" w:rsidRPr="4FE0B844">
        <w:rPr>
          <w:b/>
          <w:bCs/>
        </w:rPr>
        <w:t>.</w:t>
      </w:r>
    </w:p>
    <w:p w14:paraId="2D13CC94" w14:textId="0DFFC86D" w:rsidR="002A0A70" w:rsidRPr="00AB6CDE" w:rsidRDefault="009C377F" w:rsidP="003E6CC6">
      <w:pPr>
        <w:rPr>
          <w:strike/>
        </w:rPr>
      </w:pPr>
      <w:r>
        <w:t xml:space="preserve">Another way forward to update the common delay is that </w:t>
      </w:r>
      <w:r w:rsidR="00C478F3">
        <w:t>the network transmits/broadcasts information on how the common delay will vary over time. If e.g. a parametrized model</w:t>
      </w:r>
      <w:r w:rsidR="00BE1F25">
        <w:t xml:space="preserve"> </w:t>
      </w:r>
      <w:r w:rsidR="00285DE0">
        <w:t>or a table</w:t>
      </w:r>
      <w:r w:rsidR="00C478F3">
        <w:t xml:space="preserve"> of the </w:t>
      </w:r>
      <w:r w:rsidR="006C7F62">
        <w:t xml:space="preserve">time-varying delay function is provided to the UEs together with information on how (essentially when) to apply </w:t>
      </w:r>
      <w:r w:rsidR="004441D2">
        <w:t>timing updates,</w:t>
      </w:r>
      <w:r w:rsidR="00285DE0">
        <w:t xml:space="preserve"> </w:t>
      </w:r>
      <w:r w:rsidR="004441D2">
        <w:t xml:space="preserve">the UE will be able to </w:t>
      </w:r>
      <w:r w:rsidR="00ED3009">
        <w:t xml:space="preserve">acquire common delay automatically and do UE-specific delay </w:t>
      </w:r>
      <w:r w:rsidR="004441D2">
        <w:t>pre-compensat</w:t>
      </w:r>
      <w:r w:rsidR="00ED3009">
        <w:t>ion</w:t>
      </w:r>
      <w:r w:rsidR="00BE1F25">
        <w:t>.</w:t>
      </w:r>
    </w:p>
    <w:p w14:paraId="64445670" w14:textId="39B51AC2" w:rsidR="00C879FD" w:rsidRPr="00AB6CDE" w:rsidRDefault="00C879FD" w:rsidP="003E6CC6">
      <w:pPr>
        <w:rPr>
          <w:bCs/>
          <w:strike/>
        </w:rPr>
      </w:pPr>
      <w:r w:rsidRPr="00AB6CDE">
        <w:rPr>
          <w:bCs/>
        </w:rPr>
        <w:fldChar w:fldCharType="begin"/>
      </w:r>
      <w:r w:rsidRPr="00AB6CDE">
        <w:rPr>
          <w:bCs/>
        </w:rPr>
        <w:instrText xml:space="preserve"> REF _Ref53394537 \h </w:instrText>
      </w:r>
      <w:r w:rsidRPr="00AD7657">
        <w:rPr>
          <w:bCs/>
        </w:rPr>
        <w:instrText xml:space="preserve"> \* MERGEFORMAT </w:instrText>
      </w:r>
      <w:r w:rsidRPr="00AB6CDE">
        <w:rPr>
          <w:bCs/>
        </w:rPr>
      </w:r>
      <w:r w:rsidRPr="00AB6CDE">
        <w:rPr>
          <w:bCs/>
        </w:rPr>
        <w:fldChar w:fldCharType="separate"/>
      </w:r>
      <w:r w:rsidRPr="00AB6CDE">
        <w:rPr>
          <w:bCs/>
        </w:rPr>
        <w:t xml:space="preserve">Figure </w:t>
      </w:r>
      <w:r w:rsidRPr="00AB6CDE">
        <w:rPr>
          <w:bCs/>
        </w:rPr>
        <w:fldChar w:fldCharType="end"/>
      </w:r>
      <w:r w:rsidR="0023119D">
        <w:rPr>
          <w:bCs/>
        </w:rPr>
        <w:t>3</w:t>
      </w:r>
      <w:r w:rsidRPr="00AB6CDE">
        <w:rPr>
          <w:bCs/>
        </w:rPr>
        <w:t xml:space="preserve"> provides </w:t>
      </w:r>
      <w:r w:rsidR="00C0221A">
        <w:rPr>
          <w:bCs/>
        </w:rPr>
        <w:t xml:space="preserve">one example </w:t>
      </w:r>
      <w:r w:rsidRPr="00AD7657">
        <w:rPr>
          <w:bCs/>
        </w:rPr>
        <w:t xml:space="preserve">illustration of </w:t>
      </w:r>
      <w:r w:rsidR="001108EF" w:rsidRPr="00AD7657">
        <w:rPr>
          <w:bCs/>
        </w:rPr>
        <w:t xml:space="preserve">how </w:t>
      </w:r>
      <w:r w:rsidRPr="00ED3009">
        <w:rPr>
          <w:bCs/>
        </w:rPr>
        <w:t>the common reference point delay</w:t>
      </w:r>
      <w:r w:rsidR="001108EF" w:rsidRPr="00ED3009">
        <w:rPr>
          <w:bCs/>
        </w:rPr>
        <w:t xml:space="preserve"> varies over time</w:t>
      </w:r>
      <w:r w:rsidR="00AB6CDE">
        <w:rPr>
          <w:bCs/>
        </w:rPr>
        <w:t>.</w:t>
      </w:r>
      <w:r w:rsidR="00435618" w:rsidRPr="00AB6CDE">
        <w:rPr>
          <w:bCs/>
          <w:strike/>
        </w:rPr>
        <w:t xml:space="preserve"> </w:t>
      </w:r>
    </w:p>
    <w:p w14:paraId="75DF1DA0" w14:textId="77777777" w:rsidR="00C879FD" w:rsidRDefault="008639D5" w:rsidP="00AB6CDE">
      <w:pPr>
        <w:keepNext/>
        <w:jc w:val="center"/>
      </w:pPr>
      <w:r>
        <w:rPr>
          <w:noProof/>
        </w:rPr>
        <w:drawing>
          <wp:inline distT="0" distB="0" distL="0" distR="0" wp14:anchorId="452A3819" wp14:editId="0426C4FA">
            <wp:extent cx="3307001" cy="2698750"/>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307001" cy="2698750"/>
                    </a:xfrm>
                    <a:prstGeom prst="rect">
                      <a:avLst/>
                    </a:prstGeom>
                  </pic:spPr>
                </pic:pic>
              </a:graphicData>
            </a:graphic>
          </wp:inline>
        </w:drawing>
      </w:r>
    </w:p>
    <w:p w14:paraId="6E1EEE2D" w14:textId="02E4798E" w:rsidR="00C879FD" w:rsidRPr="00B52FD9" w:rsidRDefault="00C879FD" w:rsidP="00AB6CDE">
      <w:pPr>
        <w:pStyle w:val="Caption"/>
        <w:jc w:val="center"/>
        <w:rPr>
          <w:i w:val="0"/>
          <w:iCs w:val="0"/>
          <w:color w:val="auto"/>
          <w:sz w:val="20"/>
          <w:szCs w:val="20"/>
          <w:lang w:val="en-US"/>
        </w:rPr>
      </w:pPr>
      <w:bookmarkStart w:id="4" w:name="_Ref53394537"/>
      <w:r w:rsidRPr="00B52FD9">
        <w:rPr>
          <w:i w:val="0"/>
          <w:iCs w:val="0"/>
          <w:color w:val="auto"/>
          <w:sz w:val="20"/>
          <w:szCs w:val="20"/>
          <w:lang w:val="en-US"/>
        </w:rPr>
        <w:t xml:space="preserve">Figure </w:t>
      </w:r>
      <w:bookmarkEnd w:id="4"/>
      <w:r w:rsidR="0023119D">
        <w:rPr>
          <w:i w:val="0"/>
          <w:iCs w:val="0"/>
          <w:color w:val="auto"/>
          <w:sz w:val="20"/>
          <w:szCs w:val="20"/>
          <w:lang w:val="en-US"/>
        </w:rPr>
        <w:t>3</w:t>
      </w:r>
      <w:r w:rsidRPr="00B52FD9">
        <w:rPr>
          <w:i w:val="0"/>
          <w:iCs w:val="0"/>
          <w:color w:val="auto"/>
          <w:sz w:val="20"/>
          <w:szCs w:val="20"/>
          <w:lang w:val="en-US"/>
        </w:rPr>
        <w:t xml:space="preserve"> Example of how the common reference point delay and UE time can be linked</w:t>
      </w:r>
    </w:p>
    <w:p w14:paraId="7B6ACBE0" w14:textId="015C754E" w:rsidR="008A2E1B" w:rsidRPr="00971571" w:rsidRDefault="001B5FFF" w:rsidP="008A2E1B">
      <w:r>
        <w:rPr>
          <w:b/>
        </w:rPr>
        <w:t xml:space="preserve">Proposal </w:t>
      </w:r>
      <w:r w:rsidR="00182E5B">
        <w:rPr>
          <w:b/>
        </w:rPr>
        <w:t>4</w:t>
      </w:r>
      <w:r>
        <w:rPr>
          <w:b/>
        </w:rPr>
        <w:t>:</w:t>
      </w:r>
      <w:r w:rsidR="008A2E1B">
        <w:rPr>
          <w:b/>
        </w:rPr>
        <w:t xml:space="preserve"> </w:t>
      </w:r>
      <w:r w:rsidR="008A2E1B" w:rsidRPr="00971571">
        <w:rPr>
          <w:b/>
          <w:bCs/>
        </w:rPr>
        <w:t>RAN2 to discuss the use of a cell</w:t>
      </w:r>
      <w:r w:rsidR="008A2E1B">
        <w:rPr>
          <w:b/>
          <w:bCs/>
        </w:rPr>
        <w:t>/beam</w:t>
      </w:r>
      <w:r w:rsidR="008A2E1B" w:rsidRPr="00971571">
        <w:rPr>
          <w:b/>
          <w:bCs/>
        </w:rPr>
        <w:t xml:space="preserve"> common reference point delay </w:t>
      </w:r>
      <w:r w:rsidR="009368F9">
        <w:rPr>
          <w:b/>
          <w:bCs/>
        </w:rPr>
        <w:t xml:space="preserve">and a related common reference point delay function </w:t>
      </w:r>
      <w:r w:rsidR="008A2E1B" w:rsidRPr="00971571">
        <w:rPr>
          <w:b/>
          <w:bCs/>
        </w:rPr>
        <w:t xml:space="preserve">for </w:t>
      </w:r>
      <w:r w:rsidR="009F6FBD">
        <w:rPr>
          <w:b/>
          <w:bCs/>
        </w:rPr>
        <w:t>enabling UE-specific delay timing pre-compensation</w:t>
      </w:r>
      <w:r w:rsidR="008A2E1B">
        <w:rPr>
          <w:b/>
          <w:bCs/>
        </w:rPr>
        <w:t xml:space="preserve"> in satellite moving scenario</w:t>
      </w:r>
      <w:r w:rsidR="008A2E1B" w:rsidRPr="00971571">
        <w:rPr>
          <w:b/>
          <w:bCs/>
        </w:rPr>
        <w:t>.</w:t>
      </w:r>
    </w:p>
    <w:p w14:paraId="5FF2457F" w14:textId="6AFCDBE1" w:rsidR="00A209D6" w:rsidRPr="006E13D1" w:rsidRDefault="00BE2C49" w:rsidP="00A209D6">
      <w:pPr>
        <w:pStyle w:val="Heading1"/>
      </w:pPr>
      <w:r>
        <w:t>3</w:t>
      </w:r>
      <w:r w:rsidR="00A209D6" w:rsidRPr="006E13D1">
        <w:tab/>
      </w:r>
      <w:r w:rsidR="008C3057">
        <w:t>Conclusion</w:t>
      </w:r>
    </w:p>
    <w:p w14:paraId="4B29A52D" w14:textId="77777777" w:rsidR="00BD5596" w:rsidRPr="006E13D1" w:rsidRDefault="00BD5596" w:rsidP="00BD5596">
      <w:r w:rsidRPr="008963FB">
        <w:t xml:space="preserve">Based on the discussion, the following observations and proposals have been made. </w:t>
      </w:r>
    </w:p>
    <w:p w14:paraId="6FD82EAC" w14:textId="77777777" w:rsidR="004C2352" w:rsidRPr="00216C65" w:rsidRDefault="004C2352" w:rsidP="004C2352">
      <w:pPr>
        <w:rPr>
          <w:b/>
        </w:rPr>
      </w:pPr>
      <w:r w:rsidRPr="00216C65">
        <w:rPr>
          <w:b/>
        </w:rPr>
        <w:t>Observation 1: The delay variations caused by satellite moving is significant, especially for high altitude LEO deployment.</w:t>
      </w:r>
    </w:p>
    <w:p w14:paraId="53837EA2" w14:textId="77777777" w:rsidR="004C2352" w:rsidRPr="00216C65" w:rsidRDefault="004C2352" w:rsidP="004C2352">
      <w:pPr>
        <w:rPr>
          <w:b/>
        </w:rPr>
      </w:pPr>
      <w:r w:rsidRPr="00216C65">
        <w:rPr>
          <w:b/>
        </w:rPr>
        <w:t>Observation 2: In satellite moving scenario, using maximum delay for timers impacts user experience and system efficiency negatively.</w:t>
      </w:r>
    </w:p>
    <w:p w14:paraId="769DFA52" w14:textId="77777777" w:rsidR="004C2352" w:rsidRDefault="004C2352" w:rsidP="004C2352">
      <w:pPr>
        <w:rPr>
          <w:b/>
          <w:bCs/>
        </w:rPr>
      </w:pPr>
      <w:r>
        <w:rPr>
          <w:b/>
          <w:bCs/>
        </w:rPr>
        <w:lastRenderedPageBreak/>
        <w:t xml:space="preserve">Observation 3: </w:t>
      </w:r>
      <w:r w:rsidRPr="001F197F">
        <w:rPr>
          <w:b/>
          <w:bCs/>
        </w:rPr>
        <w:t xml:space="preserve">The delay between a </w:t>
      </w:r>
      <w:proofErr w:type="spellStart"/>
      <w:r w:rsidRPr="001F197F">
        <w:rPr>
          <w:b/>
          <w:bCs/>
        </w:rPr>
        <w:t>gNB</w:t>
      </w:r>
      <w:proofErr w:type="spellEnd"/>
      <w:r w:rsidRPr="001F197F">
        <w:rPr>
          <w:b/>
          <w:bCs/>
        </w:rPr>
        <w:t xml:space="preserve"> and a UE depends on among others satellite ephemeris, ground station location, processing times, and UE location.</w:t>
      </w:r>
    </w:p>
    <w:p w14:paraId="25990417" w14:textId="77777777" w:rsidR="004C2352" w:rsidRPr="00196B62" w:rsidRDefault="004C2352" w:rsidP="004C2352">
      <w:pPr>
        <w:rPr>
          <w:b/>
        </w:rPr>
      </w:pPr>
      <w:r w:rsidRPr="00196B62">
        <w:rPr>
          <w:b/>
        </w:rPr>
        <w:t xml:space="preserve">Observation </w:t>
      </w:r>
      <w:r>
        <w:rPr>
          <w:b/>
        </w:rPr>
        <w:t>4</w:t>
      </w:r>
      <w:r w:rsidRPr="00196B62">
        <w:rPr>
          <w:b/>
        </w:rPr>
        <w:t xml:space="preserve">: </w:t>
      </w:r>
      <w:r w:rsidRPr="00216C65">
        <w:rPr>
          <w:b/>
        </w:rPr>
        <w:t xml:space="preserve">In satellite moving scenario, </w:t>
      </w:r>
      <w:r>
        <w:rPr>
          <w:b/>
        </w:rPr>
        <w:t>u</w:t>
      </w:r>
      <w:r w:rsidRPr="00196B62">
        <w:rPr>
          <w:b/>
        </w:rPr>
        <w:t xml:space="preserve">sing </w:t>
      </w:r>
      <w:r>
        <w:rPr>
          <w:b/>
        </w:rPr>
        <w:t xml:space="preserve">network indicated </w:t>
      </w:r>
      <w:r w:rsidRPr="00196B62">
        <w:rPr>
          <w:b/>
        </w:rPr>
        <w:t>variable delay values per timer increases control overhead due to per-value, per-UE signalling.</w:t>
      </w:r>
    </w:p>
    <w:p w14:paraId="7A3EBA32" w14:textId="77777777" w:rsidR="004C2352" w:rsidRPr="009A5F63" w:rsidRDefault="004C2352" w:rsidP="004C2352">
      <w:pPr>
        <w:rPr>
          <w:b/>
          <w:bCs/>
        </w:rPr>
      </w:pPr>
      <w:r>
        <w:rPr>
          <w:b/>
          <w:bCs/>
        </w:rPr>
        <w:t xml:space="preserve">Observation 5: </w:t>
      </w:r>
      <w:r w:rsidRPr="009A5F63">
        <w:rPr>
          <w:b/>
          <w:bCs/>
        </w:rPr>
        <w:t xml:space="preserve">The delay between a </w:t>
      </w:r>
      <w:proofErr w:type="spellStart"/>
      <w:r w:rsidRPr="009A5F63">
        <w:rPr>
          <w:b/>
          <w:bCs/>
        </w:rPr>
        <w:t>gNB</w:t>
      </w:r>
      <w:proofErr w:type="spellEnd"/>
      <w:r w:rsidRPr="009A5F63">
        <w:rPr>
          <w:b/>
          <w:bCs/>
        </w:rPr>
        <w:t xml:space="preserve"> and a cell</w:t>
      </w:r>
      <w:r>
        <w:rPr>
          <w:b/>
          <w:bCs/>
        </w:rPr>
        <w:t>/beam</w:t>
      </w:r>
      <w:r w:rsidRPr="009A5F63">
        <w:rPr>
          <w:b/>
          <w:bCs/>
        </w:rPr>
        <w:t xml:space="preserve"> common reference point can be broadcasted </w:t>
      </w:r>
      <w:r>
        <w:rPr>
          <w:b/>
          <w:bCs/>
        </w:rPr>
        <w:t xml:space="preserve">as </w:t>
      </w:r>
      <w:r w:rsidRPr="00AB6CDE">
        <w:rPr>
          <w:b/>
          <w:bCs/>
        </w:rPr>
        <w:t>a function of time</w:t>
      </w:r>
      <w:r w:rsidRPr="006F1E76">
        <w:rPr>
          <w:b/>
          <w:bCs/>
          <w:color w:val="FF0000"/>
        </w:rPr>
        <w:t xml:space="preserve"> </w:t>
      </w:r>
      <w:r w:rsidRPr="009A5F63">
        <w:rPr>
          <w:b/>
          <w:bCs/>
        </w:rPr>
        <w:t>and applied by UEs</w:t>
      </w:r>
      <w:r>
        <w:rPr>
          <w:b/>
          <w:bCs/>
        </w:rPr>
        <w:t xml:space="preserve"> </w:t>
      </w:r>
      <w:r w:rsidRPr="009A5F63">
        <w:rPr>
          <w:b/>
          <w:bCs/>
        </w:rPr>
        <w:t>to update timers.</w:t>
      </w:r>
    </w:p>
    <w:p w14:paraId="537A1A2E" w14:textId="77777777" w:rsidR="004C2352" w:rsidRPr="00971571" w:rsidRDefault="004C2352" w:rsidP="004C2352">
      <w:pPr>
        <w:rPr>
          <w:b/>
          <w:bCs/>
        </w:rPr>
      </w:pPr>
      <w:r>
        <w:rPr>
          <w:b/>
          <w:bCs/>
        </w:rPr>
        <w:t xml:space="preserve">Observation 6: </w:t>
      </w:r>
      <w:r w:rsidRPr="00971571">
        <w:rPr>
          <w:b/>
          <w:bCs/>
        </w:rPr>
        <w:t>The broadcasted delay function may also include information on specific time instances where the UEs shall update the timers.</w:t>
      </w:r>
    </w:p>
    <w:p w14:paraId="0E4B4708" w14:textId="77777777" w:rsidR="004C2352" w:rsidRPr="00971571" w:rsidRDefault="004C2352" w:rsidP="004C2352">
      <w:r>
        <w:rPr>
          <w:b/>
          <w:bCs/>
        </w:rPr>
        <w:t xml:space="preserve">Proposal 1: </w:t>
      </w:r>
      <w:r w:rsidRPr="00971571">
        <w:rPr>
          <w:b/>
          <w:bCs/>
        </w:rPr>
        <w:t>RAN2 to discuss the use of a cell</w:t>
      </w:r>
      <w:r>
        <w:rPr>
          <w:b/>
          <w:bCs/>
        </w:rPr>
        <w:t>/beam</w:t>
      </w:r>
      <w:r w:rsidRPr="00971571">
        <w:rPr>
          <w:b/>
          <w:bCs/>
        </w:rPr>
        <w:t xml:space="preserve"> common reference point delay for updating UE timers</w:t>
      </w:r>
      <w:r>
        <w:rPr>
          <w:b/>
          <w:bCs/>
        </w:rPr>
        <w:t xml:space="preserve"> in satellite moving scenario</w:t>
      </w:r>
      <w:r w:rsidRPr="00971571">
        <w:rPr>
          <w:b/>
          <w:bCs/>
        </w:rPr>
        <w:t>.</w:t>
      </w:r>
    </w:p>
    <w:p w14:paraId="78F0BC18" w14:textId="77777777" w:rsidR="004C2352" w:rsidRPr="00971571" w:rsidRDefault="004C2352" w:rsidP="004C2352">
      <w:r>
        <w:rPr>
          <w:b/>
          <w:bCs/>
        </w:rPr>
        <w:t>Proposal 2: The feasibility of timing pre-compensation options should be concluded in RAN1 rather than RAN2, to enable UE to estimate and pre-compensate UE specific delay timing with the required accuracy</w:t>
      </w:r>
      <w:r w:rsidRPr="00971571">
        <w:rPr>
          <w:b/>
          <w:bCs/>
        </w:rPr>
        <w:t>.</w:t>
      </w:r>
    </w:p>
    <w:p w14:paraId="466CDBC8" w14:textId="77777777" w:rsidR="004C2352" w:rsidRPr="00971571" w:rsidRDefault="004C2352" w:rsidP="004C2352">
      <w:pPr>
        <w:rPr>
          <w:b/>
          <w:bCs/>
        </w:rPr>
      </w:pPr>
      <w:r>
        <w:rPr>
          <w:b/>
          <w:bCs/>
        </w:rPr>
        <w:t xml:space="preserve">Observation 7: </w:t>
      </w:r>
      <w:proofErr w:type="spellStart"/>
      <w:r>
        <w:rPr>
          <w:b/>
          <w:bCs/>
        </w:rPr>
        <w:t>gNB</w:t>
      </w:r>
      <w:proofErr w:type="spellEnd"/>
      <w:r>
        <w:rPr>
          <w:b/>
          <w:bCs/>
        </w:rPr>
        <w:t xml:space="preserve"> need to broadcast common delay (from </w:t>
      </w:r>
      <w:proofErr w:type="spellStart"/>
      <w:r>
        <w:rPr>
          <w:b/>
          <w:bCs/>
        </w:rPr>
        <w:t>gNB</w:t>
      </w:r>
      <w:proofErr w:type="spellEnd"/>
      <w:r>
        <w:rPr>
          <w:b/>
          <w:bCs/>
        </w:rPr>
        <w:t xml:space="preserve"> to satellite) to UE, to facilitate UE specific delay estimation based on its GNSS acquired position together with the serving satellite ephemeris data</w:t>
      </w:r>
      <w:r w:rsidRPr="00971571">
        <w:rPr>
          <w:b/>
          <w:bCs/>
        </w:rPr>
        <w:t>.</w:t>
      </w:r>
    </w:p>
    <w:p w14:paraId="59385342" w14:textId="77777777" w:rsidR="004C2352" w:rsidRDefault="004C2352" w:rsidP="004C2352">
      <w:pPr>
        <w:rPr>
          <w:b/>
        </w:rPr>
      </w:pPr>
      <w:r>
        <w:rPr>
          <w:b/>
          <w:bCs/>
        </w:rPr>
        <w:t xml:space="preserve">Observation 8: </w:t>
      </w:r>
      <w:r w:rsidRPr="00216C65">
        <w:rPr>
          <w:b/>
        </w:rPr>
        <w:t>In satellite moving scenario,</w:t>
      </w:r>
      <w:r>
        <w:rPr>
          <w:b/>
        </w:rPr>
        <w:t xml:space="preserve"> </w:t>
      </w:r>
      <w:proofErr w:type="spellStart"/>
      <w:r>
        <w:rPr>
          <w:b/>
        </w:rPr>
        <w:t>gNB</w:t>
      </w:r>
      <w:proofErr w:type="spellEnd"/>
      <w:r>
        <w:rPr>
          <w:b/>
        </w:rPr>
        <w:t xml:space="preserve"> broadcasted common delay need to be updated frequently which may cause the system information change to happen frequently and cause the </w:t>
      </w:r>
      <w:r w:rsidRPr="00196B62">
        <w:rPr>
          <w:b/>
        </w:rPr>
        <w:t xml:space="preserve">increase </w:t>
      </w:r>
      <w:r>
        <w:rPr>
          <w:b/>
        </w:rPr>
        <w:t>of signalling</w:t>
      </w:r>
      <w:r w:rsidRPr="00196B62">
        <w:rPr>
          <w:b/>
        </w:rPr>
        <w:t xml:space="preserve"> overhead</w:t>
      </w:r>
      <w:r>
        <w:rPr>
          <w:b/>
        </w:rPr>
        <w:t>.</w:t>
      </w:r>
    </w:p>
    <w:p w14:paraId="60DEEF61" w14:textId="77777777" w:rsidR="004C2352" w:rsidRDefault="004C2352" w:rsidP="004C2352">
      <w:pPr>
        <w:rPr>
          <w:b/>
          <w:bCs/>
        </w:rPr>
      </w:pPr>
      <w:r w:rsidRPr="4FE0B844">
        <w:rPr>
          <w:b/>
          <w:bCs/>
        </w:rPr>
        <w:t xml:space="preserve">Proposal </w:t>
      </w:r>
      <w:r>
        <w:rPr>
          <w:b/>
          <w:bCs/>
        </w:rPr>
        <w:t>3</w:t>
      </w:r>
      <w:r w:rsidRPr="4FE0B844">
        <w:rPr>
          <w:b/>
          <w:bCs/>
        </w:rPr>
        <w:t>: RAN2 need to address the common delay update issue in satellite moving scenarios</w:t>
      </w:r>
      <w:r>
        <w:rPr>
          <w:b/>
          <w:bCs/>
        </w:rPr>
        <w:t>, to enable UE-s</w:t>
      </w:r>
      <w:r w:rsidRPr="4FE0B844">
        <w:rPr>
          <w:b/>
          <w:bCs/>
        </w:rPr>
        <w:t>pecific delay timing pre-compensation</w:t>
      </w:r>
      <w:r>
        <w:rPr>
          <w:b/>
          <w:bCs/>
        </w:rPr>
        <w:t xml:space="preserve"> based on GNSS acquired position</w:t>
      </w:r>
      <w:r w:rsidRPr="4FE0B844">
        <w:rPr>
          <w:b/>
          <w:bCs/>
        </w:rPr>
        <w:t>.</w:t>
      </w:r>
    </w:p>
    <w:p w14:paraId="6392455C" w14:textId="77777777" w:rsidR="004C2352" w:rsidRPr="00971571" w:rsidRDefault="004C2352" w:rsidP="004C2352">
      <w:r>
        <w:rPr>
          <w:b/>
        </w:rPr>
        <w:t xml:space="preserve">Proposal 4: </w:t>
      </w:r>
      <w:r w:rsidRPr="00971571">
        <w:rPr>
          <w:b/>
          <w:bCs/>
        </w:rPr>
        <w:t>RAN2 to discuss the use of a cell</w:t>
      </w:r>
      <w:r>
        <w:rPr>
          <w:b/>
          <w:bCs/>
        </w:rPr>
        <w:t>/beam</w:t>
      </w:r>
      <w:r w:rsidRPr="00971571">
        <w:rPr>
          <w:b/>
          <w:bCs/>
        </w:rPr>
        <w:t xml:space="preserve"> common reference point delay </w:t>
      </w:r>
      <w:r>
        <w:rPr>
          <w:b/>
          <w:bCs/>
        </w:rPr>
        <w:t xml:space="preserve">and a related common reference point delay function </w:t>
      </w:r>
      <w:r w:rsidRPr="00971571">
        <w:rPr>
          <w:b/>
          <w:bCs/>
        </w:rPr>
        <w:t xml:space="preserve">for </w:t>
      </w:r>
      <w:r>
        <w:rPr>
          <w:b/>
          <w:bCs/>
        </w:rPr>
        <w:t>enabling UE-specific delay timing pre-compensation in satellite moving scenario</w:t>
      </w:r>
      <w:r w:rsidRPr="00971571">
        <w:rPr>
          <w:b/>
          <w:bCs/>
        </w:rPr>
        <w: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8477FE3" w16cex:dateUtc="2020-10-14T09:19:50.44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1207" w14:textId="77777777" w:rsidR="00EB7603" w:rsidRDefault="00EB7603">
      <w:r>
        <w:separator/>
      </w:r>
    </w:p>
  </w:endnote>
  <w:endnote w:type="continuationSeparator" w:id="0">
    <w:p w14:paraId="33544B24" w14:textId="77777777" w:rsidR="00EB7603" w:rsidRDefault="00EB7603">
      <w:r>
        <w:continuationSeparator/>
      </w:r>
    </w:p>
  </w:endnote>
  <w:endnote w:type="continuationNotice" w:id="1">
    <w:p w14:paraId="208A54F7" w14:textId="77777777" w:rsidR="00EB7603" w:rsidRDefault="00EB7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6B72C" w14:textId="77777777" w:rsidR="00EB7603" w:rsidRDefault="00EB7603">
      <w:r>
        <w:separator/>
      </w:r>
    </w:p>
  </w:footnote>
  <w:footnote w:type="continuationSeparator" w:id="0">
    <w:p w14:paraId="36685AE2" w14:textId="77777777" w:rsidR="00EB7603" w:rsidRDefault="00EB7603">
      <w:r>
        <w:continuationSeparator/>
      </w:r>
    </w:p>
  </w:footnote>
  <w:footnote w:type="continuationNotice" w:id="1">
    <w:p w14:paraId="50BFEABA" w14:textId="77777777" w:rsidR="00EB7603" w:rsidRDefault="00EB76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66190"/>
    <w:multiLevelType w:val="hybridMultilevel"/>
    <w:tmpl w:val="5D2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hybridMultilevel"/>
    <w:tmpl w:val="07D93F9E"/>
    <w:lvl w:ilvl="0" w:tplc="DF960C3C">
      <w:start w:val="1"/>
      <w:numFmt w:val="bullet"/>
      <w:lvlText w:val=""/>
      <w:lvlJc w:val="left"/>
      <w:pPr>
        <w:ind w:left="720" w:hanging="360"/>
      </w:pPr>
      <w:rPr>
        <w:rFonts w:ascii="Symbol" w:hAnsi="Symbol" w:hint="default"/>
      </w:rPr>
    </w:lvl>
    <w:lvl w:ilvl="1" w:tplc="C518AE58">
      <w:start w:val="1"/>
      <w:numFmt w:val="bullet"/>
      <w:lvlText w:val="o"/>
      <w:lvlJc w:val="left"/>
      <w:pPr>
        <w:ind w:left="1440" w:hanging="360"/>
      </w:pPr>
      <w:rPr>
        <w:rFonts w:ascii="Courier New" w:hAnsi="Courier New" w:cs="Courier New" w:hint="default"/>
      </w:rPr>
    </w:lvl>
    <w:lvl w:ilvl="2" w:tplc="D900626C">
      <w:start w:val="1"/>
      <w:numFmt w:val="bullet"/>
      <w:lvlText w:val=""/>
      <w:lvlJc w:val="left"/>
      <w:pPr>
        <w:ind w:left="2160" w:hanging="360"/>
      </w:pPr>
      <w:rPr>
        <w:rFonts w:ascii="Wingdings" w:hAnsi="Wingdings" w:hint="default"/>
      </w:rPr>
    </w:lvl>
    <w:lvl w:ilvl="3" w:tplc="2E363C0C">
      <w:start w:val="1"/>
      <w:numFmt w:val="bullet"/>
      <w:lvlText w:val=""/>
      <w:lvlJc w:val="left"/>
      <w:pPr>
        <w:ind w:left="2880" w:hanging="360"/>
      </w:pPr>
      <w:rPr>
        <w:rFonts w:ascii="Symbol" w:hAnsi="Symbol" w:hint="default"/>
      </w:rPr>
    </w:lvl>
    <w:lvl w:ilvl="4" w:tplc="117E8286">
      <w:start w:val="1"/>
      <w:numFmt w:val="bullet"/>
      <w:lvlText w:val="o"/>
      <w:lvlJc w:val="left"/>
      <w:pPr>
        <w:ind w:left="3600" w:hanging="360"/>
      </w:pPr>
      <w:rPr>
        <w:rFonts w:ascii="Courier New" w:hAnsi="Courier New" w:cs="Courier New" w:hint="default"/>
      </w:rPr>
    </w:lvl>
    <w:lvl w:ilvl="5" w:tplc="F2F40B4C">
      <w:start w:val="1"/>
      <w:numFmt w:val="bullet"/>
      <w:lvlText w:val=""/>
      <w:lvlJc w:val="left"/>
      <w:pPr>
        <w:ind w:left="4320" w:hanging="360"/>
      </w:pPr>
      <w:rPr>
        <w:rFonts w:ascii="Wingdings" w:hAnsi="Wingdings" w:hint="default"/>
      </w:rPr>
    </w:lvl>
    <w:lvl w:ilvl="6" w:tplc="C5F4B47C">
      <w:start w:val="1"/>
      <w:numFmt w:val="bullet"/>
      <w:lvlText w:val=""/>
      <w:lvlJc w:val="left"/>
      <w:pPr>
        <w:ind w:left="5040" w:hanging="360"/>
      </w:pPr>
      <w:rPr>
        <w:rFonts w:ascii="Symbol" w:hAnsi="Symbol" w:hint="default"/>
      </w:rPr>
    </w:lvl>
    <w:lvl w:ilvl="7" w:tplc="6B92499E">
      <w:start w:val="1"/>
      <w:numFmt w:val="bullet"/>
      <w:lvlText w:val="o"/>
      <w:lvlJc w:val="left"/>
      <w:pPr>
        <w:ind w:left="5760" w:hanging="360"/>
      </w:pPr>
      <w:rPr>
        <w:rFonts w:ascii="Courier New" w:hAnsi="Courier New" w:cs="Courier New" w:hint="default"/>
      </w:rPr>
    </w:lvl>
    <w:lvl w:ilvl="8" w:tplc="BFBC267A">
      <w:start w:val="1"/>
      <w:numFmt w:val="bullet"/>
      <w:lvlText w:val=""/>
      <w:lvlJc w:val="left"/>
      <w:pPr>
        <w:ind w:left="6480" w:hanging="360"/>
      </w:pPr>
      <w:rPr>
        <w:rFonts w:ascii="Wingdings" w:hAnsi="Wingdings" w:hint="default"/>
      </w:rPr>
    </w:lvl>
  </w:abstractNum>
  <w:abstractNum w:abstractNumId="4" w15:restartNumberingAfterBreak="0">
    <w:nsid w:val="1B9D0C89"/>
    <w:multiLevelType w:val="hybridMultilevel"/>
    <w:tmpl w:val="0C3CBCBC"/>
    <w:lvl w:ilvl="0" w:tplc="99EC606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7A4D74"/>
    <w:multiLevelType w:val="hybridMultilevel"/>
    <w:tmpl w:val="2E7A4D74"/>
    <w:lvl w:ilvl="0" w:tplc="45A8C896">
      <w:numFmt w:val="bullet"/>
      <w:lvlText w:val="-"/>
      <w:lvlJc w:val="left"/>
      <w:pPr>
        <w:ind w:left="1800" w:hanging="360"/>
      </w:pPr>
      <w:rPr>
        <w:rFonts w:ascii="Calibri" w:eastAsiaTheme="minorHAnsi" w:hAnsi="Calibri" w:cs="Calibri" w:hint="default"/>
      </w:rPr>
    </w:lvl>
    <w:lvl w:ilvl="1" w:tplc="D04CA91A">
      <w:start w:val="1"/>
      <w:numFmt w:val="bullet"/>
      <w:lvlText w:val="o"/>
      <w:lvlJc w:val="left"/>
      <w:pPr>
        <w:ind w:left="2520" w:hanging="360"/>
      </w:pPr>
      <w:rPr>
        <w:rFonts w:ascii="Courier New" w:hAnsi="Courier New" w:cs="Courier New" w:hint="default"/>
      </w:rPr>
    </w:lvl>
    <w:lvl w:ilvl="2" w:tplc="ED9E75AC">
      <w:start w:val="1"/>
      <w:numFmt w:val="bullet"/>
      <w:lvlText w:val=""/>
      <w:lvlJc w:val="left"/>
      <w:pPr>
        <w:ind w:left="3240" w:hanging="360"/>
      </w:pPr>
      <w:rPr>
        <w:rFonts w:ascii="Wingdings" w:hAnsi="Wingdings" w:hint="default"/>
      </w:rPr>
    </w:lvl>
    <w:lvl w:ilvl="3" w:tplc="E85229AE">
      <w:start w:val="1"/>
      <w:numFmt w:val="bullet"/>
      <w:lvlText w:val=""/>
      <w:lvlJc w:val="left"/>
      <w:pPr>
        <w:ind w:left="3960" w:hanging="360"/>
      </w:pPr>
      <w:rPr>
        <w:rFonts w:ascii="Symbol" w:hAnsi="Symbol" w:hint="default"/>
      </w:rPr>
    </w:lvl>
    <w:lvl w:ilvl="4" w:tplc="5D7E1236">
      <w:start w:val="1"/>
      <w:numFmt w:val="bullet"/>
      <w:lvlText w:val="o"/>
      <w:lvlJc w:val="left"/>
      <w:pPr>
        <w:ind w:left="4680" w:hanging="360"/>
      </w:pPr>
      <w:rPr>
        <w:rFonts w:ascii="Courier New" w:hAnsi="Courier New" w:cs="Courier New" w:hint="default"/>
      </w:rPr>
    </w:lvl>
    <w:lvl w:ilvl="5" w:tplc="0EBE058A">
      <w:start w:val="1"/>
      <w:numFmt w:val="bullet"/>
      <w:lvlText w:val=""/>
      <w:lvlJc w:val="left"/>
      <w:pPr>
        <w:ind w:left="5400" w:hanging="360"/>
      </w:pPr>
      <w:rPr>
        <w:rFonts w:ascii="Wingdings" w:hAnsi="Wingdings" w:hint="default"/>
      </w:rPr>
    </w:lvl>
    <w:lvl w:ilvl="6" w:tplc="C6C87D8C">
      <w:start w:val="1"/>
      <w:numFmt w:val="bullet"/>
      <w:lvlText w:val=""/>
      <w:lvlJc w:val="left"/>
      <w:pPr>
        <w:ind w:left="6120" w:hanging="360"/>
      </w:pPr>
      <w:rPr>
        <w:rFonts w:ascii="Symbol" w:hAnsi="Symbol" w:hint="default"/>
      </w:rPr>
    </w:lvl>
    <w:lvl w:ilvl="7" w:tplc="DB2A83CE">
      <w:start w:val="1"/>
      <w:numFmt w:val="bullet"/>
      <w:lvlText w:val="o"/>
      <w:lvlJc w:val="left"/>
      <w:pPr>
        <w:ind w:left="6840" w:hanging="360"/>
      </w:pPr>
      <w:rPr>
        <w:rFonts w:ascii="Courier New" w:hAnsi="Courier New" w:cs="Courier New" w:hint="default"/>
      </w:rPr>
    </w:lvl>
    <w:lvl w:ilvl="8" w:tplc="0A98E844">
      <w:start w:val="1"/>
      <w:numFmt w:val="bullet"/>
      <w:lvlText w:val=""/>
      <w:lvlJc w:val="left"/>
      <w:pPr>
        <w:ind w:left="756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B496F"/>
    <w:multiLevelType w:val="hybridMultilevel"/>
    <w:tmpl w:val="B1CC8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333B1"/>
    <w:multiLevelType w:val="hybridMultilevel"/>
    <w:tmpl w:val="BD341462"/>
    <w:lvl w:ilvl="0" w:tplc="6AB071EE">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54A06"/>
    <w:multiLevelType w:val="hybridMultilevel"/>
    <w:tmpl w:val="1C66E9F4"/>
    <w:lvl w:ilvl="0" w:tplc="35EE359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2"/>
  </w:num>
  <w:num w:numId="7">
    <w:abstractNumId w:val="13"/>
  </w:num>
  <w:num w:numId="8">
    <w:abstractNumId w:val="4"/>
  </w:num>
  <w:num w:numId="9">
    <w:abstractNumId w:val="11"/>
  </w:num>
  <w:num w:numId="10">
    <w:abstractNumId w:val="3"/>
  </w:num>
  <w:num w:numId="11">
    <w:abstractNumId w:val="14"/>
  </w:num>
  <w:num w:numId="12">
    <w:abstractNumId w:val="5"/>
  </w:num>
  <w:num w:numId="13">
    <w:abstractNumId w:val="9"/>
  </w:num>
  <w:num w:numId="14">
    <w:abstractNumId w:val="6"/>
  </w:num>
  <w:num w:numId="15">
    <w:abstractNumId w:val="2"/>
  </w:num>
  <w:num w:numId="16">
    <w:abstractNumId w:val="1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E3"/>
    <w:rsid w:val="000144B8"/>
    <w:rsid w:val="00016557"/>
    <w:rsid w:val="0001796B"/>
    <w:rsid w:val="0002066F"/>
    <w:rsid w:val="00020789"/>
    <w:rsid w:val="00023C40"/>
    <w:rsid w:val="00032066"/>
    <w:rsid w:val="00033397"/>
    <w:rsid w:val="00040095"/>
    <w:rsid w:val="00044F4C"/>
    <w:rsid w:val="00050039"/>
    <w:rsid w:val="00050A97"/>
    <w:rsid w:val="00050B6D"/>
    <w:rsid w:val="000524F5"/>
    <w:rsid w:val="00060F81"/>
    <w:rsid w:val="0007040F"/>
    <w:rsid w:val="00072A05"/>
    <w:rsid w:val="00073C9C"/>
    <w:rsid w:val="0007748C"/>
    <w:rsid w:val="00080347"/>
    <w:rsid w:val="00080512"/>
    <w:rsid w:val="00081FD2"/>
    <w:rsid w:val="00090468"/>
    <w:rsid w:val="0009280F"/>
    <w:rsid w:val="00094568"/>
    <w:rsid w:val="000B181A"/>
    <w:rsid w:val="000B2FE6"/>
    <w:rsid w:val="000B5F75"/>
    <w:rsid w:val="000B7BCF"/>
    <w:rsid w:val="000C522B"/>
    <w:rsid w:val="000C63FB"/>
    <w:rsid w:val="000D58AB"/>
    <w:rsid w:val="000E3082"/>
    <w:rsid w:val="000F262F"/>
    <w:rsid w:val="001060BB"/>
    <w:rsid w:val="00107753"/>
    <w:rsid w:val="001108EF"/>
    <w:rsid w:val="001118DB"/>
    <w:rsid w:val="00112F1A"/>
    <w:rsid w:val="00117527"/>
    <w:rsid w:val="00124BC2"/>
    <w:rsid w:val="001308D3"/>
    <w:rsid w:val="001416D4"/>
    <w:rsid w:val="0014359E"/>
    <w:rsid w:val="00145075"/>
    <w:rsid w:val="00145778"/>
    <w:rsid w:val="001538E0"/>
    <w:rsid w:val="001741A0"/>
    <w:rsid w:val="00175FA0"/>
    <w:rsid w:val="00182E5B"/>
    <w:rsid w:val="00194CD0"/>
    <w:rsid w:val="001969A9"/>
    <w:rsid w:val="00196B62"/>
    <w:rsid w:val="00197832"/>
    <w:rsid w:val="001A0434"/>
    <w:rsid w:val="001A2241"/>
    <w:rsid w:val="001A4CFC"/>
    <w:rsid w:val="001B2A65"/>
    <w:rsid w:val="001B3BF1"/>
    <w:rsid w:val="001B49C9"/>
    <w:rsid w:val="001B5FFF"/>
    <w:rsid w:val="001C23F4"/>
    <w:rsid w:val="001C483B"/>
    <w:rsid w:val="001C4F79"/>
    <w:rsid w:val="001C5B0F"/>
    <w:rsid w:val="001D692E"/>
    <w:rsid w:val="001E77FF"/>
    <w:rsid w:val="001F168B"/>
    <w:rsid w:val="001F197F"/>
    <w:rsid w:val="001F1B73"/>
    <w:rsid w:val="001F7831"/>
    <w:rsid w:val="00204045"/>
    <w:rsid w:val="0020712B"/>
    <w:rsid w:val="00210304"/>
    <w:rsid w:val="002104D7"/>
    <w:rsid w:val="00216C65"/>
    <w:rsid w:val="0022606D"/>
    <w:rsid w:val="00226A5F"/>
    <w:rsid w:val="0023119D"/>
    <w:rsid w:val="00231728"/>
    <w:rsid w:val="002379BF"/>
    <w:rsid w:val="002424F1"/>
    <w:rsid w:val="00244A05"/>
    <w:rsid w:val="00250404"/>
    <w:rsid w:val="002528A6"/>
    <w:rsid w:val="0025732C"/>
    <w:rsid w:val="002610D8"/>
    <w:rsid w:val="00264F0E"/>
    <w:rsid w:val="002704CA"/>
    <w:rsid w:val="002747EC"/>
    <w:rsid w:val="00280141"/>
    <w:rsid w:val="002855BF"/>
    <w:rsid w:val="00285DE0"/>
    <w:rsid w:val="00287897"/>
    <w:rsid w:val="00287E33"/>
    <w:rsid w:val="002A0A70"/>
    <w:rsid w:val="002A2A7A"/>
    <w:rsid w:val="002A2BFC"/>
    <w:rsid w:val="002C15B2"/>
    <w:rsid w:val="002E5226"/>
    <w:rsid w:val="002F0D22"/>
    <w:rsid w:val="002F32EF"/>
    <w:rsid w:val="002F6A2A"/>
    <w:rsid w:val="00303F39"/>
    <w:rsid w:val="00306538"/>
    <w:rsid w:val="00307A19"/>
    <w:rsid w:val="00311B17"/>
    <w:rsid w:val="00313CDA"/>
    <w:rsid w:val="00316044"/>
    <w:rsid w:val="003172DC"/>
    <w:rsid w:val="00325AE3"/>
    <w:rsid w:val="00326069"/>
    <w:rsid w:val="00330846"/>
    <w:rsid w:val="00331C1B"/>
    <w:rsid w:val="00335942"/>
    <w:rsid w:val="003406DA"/>
    <w:rsid w:val="00350691"/>
    <w:rsid w:val="00350F8D"/>
    <w:rsid w:val="00354257"/>
    <w:rsid w:val="0035462D"/>
    <w:rsid w:val="003556B6"/>
    <w:rsid w:val="00360FE3"/>
    <w:rsid w:val="0036459E"/>
    <w:rsid w:val="00364B41"/>
    <w:rsid w:val="0036575A"/>
    <w:rsid w:val="0036630E"/>
    <w:rsid w:val="00377883"/>
    <w:rsid w:val="00383096"/>
    <w:rsid w:val="0038689D"/>
    <w:rsid w:val="00390CAF"/>
    <w:rsid w:val="00392878"/>
    <w:rsid w:val="00392BCB"/>
    <w:rsid w:val="0039346C"/>
    <w:rsid w:val="00397FBB"/>
    <w:rsid w:val="003A41EF"/>
    <w:rsid w:val="003B40AD"/>
    <w:rsid w:val="003C4E37"/>
    <w:rsid w:val="003C6591"/>
    <w:rsid w:val="003D275C"/>
    <w:rsid w:val="003D7870"/>
    <w:rsid w:val="003E10C7"/>
    <w:rsid w:val="003E16BE"/>
    <w:rsid w:val="003E6CC6"/>
    <w:rsid w:val="003F2CEA"/>
    <w:rsid w:val="003F4E28"/>
    <w:rsid w:val="004006E8"/>
    <w:rsid w:val="00400782"/>
    <w:rsid w:val="00401855"/>
    <w:rsid w:val="00401AA6"/>
    <w:rsid w:val="0040221C"/>
    <w:rsid w:val="0043104B"/>
    <w:rsid w:val="00435618"/>
    <w:rsid w:val="00441E57"/>
    <w:rsid w:val="004441D2"/>
    <w:rsid w:val="004452AB"/>
    <w:rsid w:val="00447D61"/>
    <w:rsid w:val="00452A0F"/>
    <w:rsid w:val="00462800"/>
    <w:rsid w:val="00465587"/>
    <w:rsid w:val="00470841"/>
    <w:rsid w:val="004713EB"/>
    <w:rsid w:val="00477369"/>
    <w:rsid w:val="00477455"/>
    <w:rsid w:val="004844A2"/>
    <w:rsid w:val="004A1F7B"/>
    <w:rsid w:val="004A52D0"/>
    <w:rsid w:val="004C2352"/>
    <w:rsid w:val="004C44D2"/>
    <w:rsid w:val="004D20AA"/>
    <w:rsid w:val="004D3578"/>
    <w:rsid w:val="004D380D"/>
    <w:rsid w:val="004E213A"/>
    <w:rsid w:val="005027CA"/>
    <w:rsid w:val="00503171"/>
    <w:rsid w:val="00506C28"/>
    <w:rsid w:val="00527295"/>
    <w:rsid w:val="00534DA0"/>
    <w:rsid w:val="00536069"/>
    <w:rsid w:val="005360E4"/>
    <w:rsid w:val="00543E38"/>
    <w:rsid w:val="00543E6C"/>
    <w:rsid w:val="0054501F"/>
    <w:rsid w:val="00554E7F"/>
    <w:rsid w:val="00565087"/>
    <w:rsid w:val="0056573F"/>
    <w:rsid w:val="00571279"/>
    <w:rsid w:val="00582807"/>
    <w:rsid w:val="00584398"/>
    <w:rsid w:val="005959B8"/>
    <w:rsid w:val="005A49C6"/>
    <w:rsid w:val="005B00F3"/>
    <w:rsid w:val="005B2D7C"/>
    <w:rsid w:val="005C21F7"/>
    <w:rsid w:val="005D2538"/>
    <w:rsid w:val="005D7E5D"/>
    <w:rsid w:val="005F3D74"/>
    <w:rsid w:val="005F5E58"/>
    <w:rsid w:val="005F7356"/>
    <w:rsid w:val="005F7A7A"/>
    <w:rsid w:val="00603AB1"/>
    <w:rsid w:val="0061101D"/>
    <w:rsid w:val="00611566"/>
    <w:rsid w:val="0061295C"/>
    <w:rsid w:val="00616A7B"/>
    <w:rsid w:val="00617AC6"/>
    <w:rsid w:val="00620F3F"/>
    <w:rsid w:val="00621FC1"/>
    <w:rsid w:val="00624AF8"/>
    <w:rsid w:val="00627F32"/>
    <w:rsid w:val="00634836"/>
    <w:rsid w:val="00646D99"/>
    <w:rsid w:val="00656910"/>
    <w:rsid w:val="006574C0"/>
    <w:rsid w:val="00660BB6"/>
    <w:rsid w:val="00663807"/>
    <w:rsid w:val="006640A0"/>
    <w:rsid w:val="006662E3"/>
    <w:rsid w:val="00666BC3"/>
    <w:rsid w:val="00682A68"/>
    <w:rsid w:val="00696821"/>
    <w:rsid w:val="006A5BCC"/>
    <w:rsid w:val="006A7447"/>
    <w:rsid w:val="006B4DA0"/>
    <w:rsid w:val="006C2B17"/>
    <w:rsid w:val="006C40E8"/>
    <w:rsid w:val="006C66D8"/>
    <w:rsid w:val="006C7F62"/>
    <w:rsid w:val="006D03FA"/>
    <w:rsid w:val="006D084A"/>
    <w:rsid w:val="006D1E24"/>
    <w:rsid w:val="006D35DE"/>
    <w:rsid w:val="006E05D2"/>
    <w:rsid w:val="006E1417"/>
    <w:rsid w:val="006E3AAE"/>
    <w:rsid w:val="006E671B"/>
    <w:rsid w:val="006F1E76"/>
    <w:rsid w:val="006F6A2C"/>
    <w:rsid w:val="007069DC"/>
    <w:rsid w:val="00710201"/>
    <w:rsid w:val="0071495B"/>
    <w:rsid w:val="0072073A"/>
    <w:rsid w:val="00720A82"/>
    <w:rsid w:val="007212D9"/>
    <w:rsid w:val="0072513A"/>
    <w:rsid w:val="007317C7"/>
    <w:rsid w:val="007342B5"/>
    <w:rsid w:val="00734A5B"/>
    <w:rsid w:val="00736D5C"/>
    <w:rsid w:val="00737DD7"/>
    <w:rsid w:val="00744019"/>
    <w:rsid w:val="00744E76"/>
    <w:rsid w:val="00745742"/>
    <w:rsid w:val="00757D40"/>
    <w:rsid w:val="007662B5"/>
    <w:rsid w:val="00766950"/>
    <w:rsid w:val="00766EF2"/>
    <w:rsid w:val="007765E0"/>
    <w:rsid w:val="00777664"/>
    <w:rsid w:val="00781156"/>
    <w:rsid w:val="00781F0F"/>
    <w:rsid w:val="0078727C"/>
    <w:rsid w:val="0078792B"/>
    <w:rsid w:val="0079049D"/>
    <w:rsid w:val="00793218"/>
    <w:rsid w:val="00793DC5"/>
    <w:rsid w:val="007A1128"/>
    <w:rsid w:val="007A71E9"/>
    <w:rsid w:val="007B18D8"/>
    <w:rsid w:val="007B1D05"/>
    <w:rsid w:val="007B56D3"/>
    <w:rsid w:val="007C095F"/>
    <w:rsid w:val="007C12CE"/>
    <w:rsid w:val="007C2DD0"/>
    <w:rsid w:val="007D5562"/>
    <w:rsid w:val="007D5733"/>
    <w:rsid w:val="007E191B"/>
    <w:rsid w:val="007F18CA"/>
    <w:rsid w:val="007F2E08"/>
    <w:rsid w:val="007F3AA4"/>
    <w:rsid w:val="008028A4"/>
    <w:rsid w:val="0081289A"/>
    <w:rsid w:val="00813245"/>
    <w:rsid w:val="00823FFB"/>
    <w:rsid w:val="008256AC"/>
    <w:rsid w:val="0083440A"/>
    <w:rsid w:val="00837DE4"/>
    <w:rsid w:val="00840DE0"/>
    <w:rsid w:val="00846AC1"/>
    <w:rsid w:val="00852888"/>
    <w:rsid w:val="0086354A"/>
    <w:rsid w:val="008639D5"/>
    <w:rsid w:val="008768CA"/>
    <w:rsid w:val="00877EF9"/>
    <w:rsid w:val="00880559"/>
    <w:rsid w:val="0089200B"/>
    <w:rsid w:val="00896799"/>
    <w:rsid w:val="008A23DD"/>
    <w:rsid w:val="008A2E1B"/>
    <w:rsid w:val="008B223D"/>
    <w:rsid w:val="008B5306"/>
    <w:rsid w:val="008C2E2A"/>
    <w:rsid w:val="008C3057"/>
    <w:rsid w:val="008D2E4D"/>
    <w:rsid w:val="008D30C1"/>
    <w:rsid w:val="008F2BD7"/>
    <w:rsid w:val="008F396F"/>
    <w:rsid w:val="008F3DCD"/>
    <w:rsid w:val="008F5D96"/>
    <w:rsid w:val="0090271F"/>
    <w:rsid w:val="00902DB9"/>
    <w:rsid w:val="0090466A"/>
    <w:rsid w:val="009233EB"/>
    <w:rsid w:val="00923655"/>
    <w:rsid w:val="00923A88"/>
    <w:rsid w:val="00931CDF"/>
    <w:rsid w:val="00933484"/>
    <w:rsid w:val="00933495"/>
    <w:rsid w:val="00936071"/>
    <w:rsid w:val="009368F9"/>
    <w:rsid w:val="009376CD"/>
    <w:rsid w:val="00940212"/>
    <w:rsid w:val="00942EC2"/>
    <w:rsid w:val="00955A13"/>
    <w:rsid w:val="00957CA0"/>
    <w:rsid w:val="00961B32"/>
    <w:rsid w:val="00962509"/>
    <w:rsid w:val="00962E70"/>
    <w:rsid w:val="00966D26"/>
    <w:rsid w:val="00970DB3"/>
    <w:rsid w:val="00971571"/>
    <w:rsid w:val="009737BA"/>
    <w:rsid w:val="00974BB0"/>
    <w:rsid w:val="00975BCD"/>
    <w:rsid w:val="00976F6A"/>
    <w:rsid w:val="009844AA"/>
    <w:rsid w:val="009928A9"/>
    <w:rsid w:val="009A0AF3"/>
    <w:rsid w:val="009A5F63"/>
    <w:rsid w:val="009A7E1A"/>
    <w:rsid w:val="009B07CD"/>
    <w:rsid w:val="009C19E9"/>
    <w:rsid w:val="009C377F"/>
    <w:rsid w:val="009C5087"/>
    <w:rsid w:val="009C6935"/>
    <w:rsid w:val="009C7866"/>
    <w:rsid w:val="009D74A6"/>
    <w:rsid w:val="009E0E87"/>
    <w:rsid w:val="009E692B"/>
    <w:rsid w:val="009E7F4B"/>
    <w:rsid w:val="009F2F0B"/>
    <w:rsid w:val="009F57BB"/>
    <w:rsid w:val="009F6FBD"/>
    <w:rsid w:val="00A02C7D"/>
    <w:rsid w:val="00A02E98"/>
    <w:rsid w:val="00A10F02"/>
    <w:rsid w:val="00A204CA"/>
    <w:rsid w:val="00A209D6"/>
    <w:rsid w:val="00A210A1"/>
    <w:rsid w:val="00A21711"/>
    <w:rsid w:val="00A22738"/>
    <w:rsid w:val="00A34697"/>
    <w:rsid w:val="00A35EA3"/>
    <w:rsid w:val="00A53724"/>
    <w:rsid w:val="00A54B2B"/>
    <w:rsid w:val="00A55DDC"/>
    <w:rsid w:val="00A5659F"/>
    <w:rsid w:val="00A64F19"/>
    <w:rsid w:val="00A73922"/>
    <w:rsid w:val="00A75861"/>
    <w:rsid w:val="00A8010F"/>
    <w:rsid w:val="00A82346"/>
    <w:rsid w:val="00A93286"/>
    <w:rsid w:val="00A9671C"/>
    <w:rsid w:val="00AA1553"/>
    <w:rsid w:val="00AA67B6"/>
    <w:rsid w:val="00AB4550"/>
    <w:rsid w:val="00AB5C79"/>
    <w:rsid w:val="00AB5CE0"/>
    <w:rsid w:val="00AB6CDE"/>
    <w:rsid w:val="00AD2359"/>
    <w:rsid w:val="00AD7657"/>
    <w:rsid w:val="00AE290D"/>
    <w:rsid w:val="00AE5CFC"/>
    <w:rsid w:val="00AE6937"/>
    <w:rsid w:val="00B01E1C"/>
    <w:rsid w:val="00B01EB8"/>
    <w:rsid w:val="00B03006"/>
    <w:rsid w:val="00B05380"/>
    <w:rsid w:val="00B05962"/>
    <w:rsid w:val="00B11FC6"/>
    <w:rsid w:val="00B15449"/>
    <w:rsid w:val="00B16C2F"/>
    <w:rsid w:val="00B1736D"/>
    <w:rsid w:val="00B2271F"/>
    <w:rsid w:val="00B27303"/>
    <w:rsid w:val="00B3127D"/>
    <w:rsid w:val="00B4398D"/>
    <w:rsid w:val="00B44C36"/>
    <w:rsid w:val="00B47FD1"/>
    <w:rsid w:val="00B516BB"/>
    <w:rsid w:val="00B52FD9"/>
    <w:rsid w:val="00B705A0"/>
    <w:rsid w:val="00B77E80"/>
    <w:rsid w:val="00B81B70"/>
    <w:rsid w:val="00B84DB2"/>
    <w:rsid w:val="00BA3ACB"/>
    <w:rsid w:val="00BB281C"/>
    <w:rsid w:val="00BB3848"/>
    <w:rsid w:val="00BC3555"/>
    <w:rsid w:val="00BD1189"/>
    <w:rsid w:val="00BD5596"/>
    <w:rsid w:val="00BD56D6"/>
    <w:rsid w:val="00BE13C7"/>
    <w:rsid w:val="00BE1F25"/>
    <w:rsid w:val="00BE2C49"/>
    <w:rsid w:val="00BF7201"/>
    <w:rsid w:val="00C0221A"/>
    <w:rsid w:val="00C12B51"/>
    <w:rsid w:val="00C17A97"/>
    <w:rsid w:val="00C24650"/>
    <w:rsid w:val="00C2479E"/>
    <w:rsid w:val="00C25465"/>
    <w:rsid w:val="00C254C7"/>
    <w:rsid w:val="00C32725"/>
    <w:rsid w:val="00C32FC0"/>
    <w:rsid w:val="00C33079"/>
    <w:rsid w:val="00C36BED"/>
    <w:rsid w:val="00C428D3"/>
    <w:rsid w:val="00C42BF0"/>
    <w:rsid w:val="00C478F3"/>
    <w:rsid w:val="00C506DE"/>
    <w:rsid w:val="00C63D7F"/>
    <w:rsid w:val="00C6553E"/>
    <w:rsid w:val="00C67A4F"/>
    <w:rsid w:val="00C83A13"/>
    <w:rsid w:val="00C85177"/>
    <w:rsid w:val="00C86820"/>
    <w:rsid w:val="00C879FD"/>
    <w:rsid w:val="00C9068C"/>
    <w:rsid w:val="00C92967"/>
    <w:rsid w:val="00CA0AA2"/>
    <w:rsid w:val="00CA3D0C"/>
    <w:rsid w:val="00CA63FB"/>
    <w:rsid w:val="00CA654B"/>
    <w:rsid w:val="00CB07C4"/>
    <w:rsid w:val="00CB5211"/>
    <w:rsid w:val="00CB72B8"/>
    <w:rsid w:val="00CD0885"/>
    <w:rsid w:val="00CD4C7B"/>
    <w:rsid w:val="00CD58FE"/>
    <w:rsid w:val="00D031FA"/>
    <w:rsid w:val="00D03D22"/>
    <w:rsid w:val="00D03FF6"/>
    <w:rsid w:val="00D05CB2"/>
    <w:rsid w:val="00D22CB2"/>
    <w:rsid w:val="00D32011"/>
    <w:rsid w:val="00D33BE3"/>
    <w:rsid w:val="00D3792D"/>
    <w:rsid w:val="00D41286"/>
    <w:rsid w:val="00D476F3"/>
    <w:rsid w:val="00D524D1"/>
    <w:rsid w:val="00D52EA3"/>
    <w:rsid w:val="00D55E47"/>
    <w:rsid w:val="00D62E19"/>
    <w:rsid w:val="00D67CD1"/>
    <w:rsid w:val="00D71AAC"/>
    <w:rsid w:val="00D738D6"/>
    <w:rsid w:val="00D75F63"/>
    <w:rsid w:val="00D77662"/>
    <w:rsid w:val="00D80795"/>
    <w:rsid w:val="00D81C97"/>
    <w:rsid w:val="00D8528D"/>
    <w:rsid w:val="00D854BE"/>
    <w:rsid w:val="00D87E00"/>
    <w:rsid w:val="00D9134D"/>
    <w:rsid w:val="00D94BA1"/>
    <w:rsid w:val="00D96D11"/>
    <w:rsid w:val="00DA00BD"/>
    <w:rsid w:val="00DA0F5A"/>
    <w:rsid w:val="00DA149C"/>
    <w:rsid w:val="00DA577A"/>
    <w:rsid w:val="00DA7A03"/>
    <w:rsid w:val="00DB0DB8"/>
    <w:rsid w:val="00DB11E6"/>
    <w:rsid w:val="00DB1818"/>
    <w:rsid w:val="00DB6144"/>
    <w:rsid w:val="00DC2E69"/>
    <w:rsid w:val="00DC309B"/>
    <w:rsid w:val="00DC4DA2"/>
    <w:rsid w:val="00DC5261"/>
    <w:rsid w:val="00DD5F32"/>
    <w:rsid w:val="00DD794E"/>
    <w:rsid w:val="00DE25D2"/>
    <w:rsid w:val="00DE35D9"/>
    <w:rsid w:val="00DE470B"/>
    <w:rsid w:val="00DE54A3"/>
    <w:rsid w:val="00DF2C85"/>
    <w:rsid w:val="00DF3D14"/>
    <w:rsid w:val="00DF6206"/>
    <w:rsid w:val="00E04915"/>
    <w:rsid w:val="00E0693B"/>
    <w:rsid w:val="00E11EFB"/>
    <w:rsid w:val="00E13014"/>
    <w:rsid w:val="00E17DD0"/>
    <w:rsid w:val="00E22CED"/>
    <w:rsid w:val="00E26F42"/>
    <w:rsid w:val="00E3365E"/>
    <w:rsid w:val="00E46C08"/>
    <w:rsid w:val="00E471CF"/>
    <w:rsid w:val="00E62835"/>
    <w:rsid w:val="00E679A1"/>
    <w:rsid w:val="00E74D51"/>
    <w:rsid w:val="00E77645"/>
    <w:rsid w:val="00E77C7F"/>
    <w:rsid w:val="00E83697"/>
    <w:rsid w:val="00E85278"/>
    <w:rsid w:val="00EA033E"/>
    <w:rsid w:val="00EA66C9"/>
    <w:rsid w:val="00EB7603"/>
    <w:rsid w:val="00EC4A25"/>
    <w:rsid w:val="00EC4D19"/>
    <w:rsid w:val="00EC5EA5"/>
    <w:rsid w:val="00ED3009"/>
    <w:rsid w:val="00EE5C2E"/>
    <w:rsid w:val="00EF4C74"/>
    <w:rsid w:val="00EF612C"/>
    <w:rsid w:val="00F004CD"/>
    <w:rsid w:val="00F025A2"/>
    <w:rsid w:val="00F036E9"/>
    <w:rsid w:val="00F07388"/>
    <w:rsid w:val="00F16141"/>
    <w:rsid w:val="00F2026E"/>
    <w:rsid w:val="00F2140D"/>
    <w:rsid w:val="00F2210A"/>
    <w:rsid w:val="00F233AC"/>
    <w:rsid w:val="00F37743"/>
    <w:rsid w:val="00F53C8E"/>
    <w:rsid w:val="00F54A3D"/>
    <w:rsid w:val="00F54CB0"/>
    <w:rsid w:val="00F55A2A"/>
    <w:rsid w:val="00F579CD"/>
    <w:rsid w:val="00F653B8"/>
    <w:rsid w:val="00F67475"/>
    <w:rsid w:val="00F71B89"/>
    <w:rsid w:val="00F72C69"/>
    <w:rsid w:val="00F7353C"/>
    <w:rsid w:val="00F76166"/>
    <w:rsid w:val="00F76F8F"/>
    <w:rsid w:val="00F91C85"/>
    <w:rsid w:val="00F92211"/>
    <w:rsid w:val="00F9403C"/>
    <w:rsid w:val="00F941DF"/>
    <w:rsid w:val="00F94A43"/>
    <w:rsid w:val="00F954C1"/>
    <w:rsid w:val="00FA0937"/>
    <w:rsid w:val="00FA1266"/>
    <w:rsid w:val="00FB0ECA"/>
    <w:rsid w:val="00FB1E03"/>
    <w:rsid w:val="00FB36FA"/>
    <w:rsid w:val="00FB3D38"/>
    <w:rsid w:val="00FB4E6E"/>
    <w:rsid w:val="00FC1192"/>
    <w:rsid w:val="00FC5FB8"/>
    <w:rsid w:val="00FC74CC"/>
    <w:rsid w:val="00FD0D79"/>
    <w:rsid w:val="00FD6C17"/>
    <w:rsid w:val="00FE251B"/>
    <w:rsid w:val="00FF20DB"/>
    <w:rsid w:val="22CF1A68"/>
    <w:rsid w:val="398FB7CA"/>
    <w:rsid w:val="39E7491E"/>
    <w:rsid w:val="4E86D370"/>
    <w:rsid w:val="4FE0B8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03C6A70-2075-4B9C-A11D-F919A58E7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D235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7A71E9"/>
    <w:pPr>
      <w:spacing w:after="200"/>
    </w:pPr>
    <w:rPr>
      <w:i/>
      <w:iCs/>
      <w:color w:val="44546A" w:themeColor="text2"/>
      <w:sz w:val="18"/>
      <w:szCs w:val="18"/>
    </w:rPr>
  </w:style>
  <w:style w:type="character" w:styleId="CommentReference">
    <w:name w:val="annotation reference"/>
    <w:basedOn w:val="DefaultParagraphFont"/>
    <w:uiPriority w:val="99"/>
    <w:qFormat/>
    <w:rsid w:val="001A2241"/>
    <w:rPr>
      <w:sz w:val="16"/>
      <w:szCs w:val="16"/>
    </w:rPr>
  </w:style>
  <w:style w:type="paragraph" w:styleId="CommentText">
    <w:name w:val="annotation text"/>
    <w:basedOn w:val="Normal"/>
    <w:link w:val="CommentTextChar"/>
    <w:uiPriority w:val="99"/>
    <w:qFormat/>
    <w:rsid w:val="001A2241"/>
  </w:style>
  <w:style w:type="character" w:customStyle="1" w:styleId="CommentTextChar">
    <w:name w:val="Comment Text Char"/>
    <w:basedOn w:val="DefaultParagraphFont"/>
    <w:link w:val="CommentText"/>
    <w:uiPriority w:val="99"/>
    <w:qFormat/>
    <w:rsid w:val="001A2241"/>
    <w:rPr>
      <w:lang w:eastAsia="en-US"/>
    </w:rPr>
  </w:style>
  <w:style w:type="paragraph" w:styleId="CommentSubject">
    <w:name w:val="annotation subject"/>
    <w:basedOn w:val="CommentText"/>
    <w:next w:val="CommentText"/>
    <w:link w:val="CommentSubjectChar"/>
    <w:rsid w:val="001A2241"/>
    <w:rPr>
      <w:b/>
      <w:bCs/>
    </w:rPr>
  </w:style>
  <w:style w:type="character" w:customStyle="1" w:styleId="CommentSubjectChar">
    <w:name w:val="Comment Subject Char"/>
    <w:basedOn w:val="CommentTextChar"/>
    <w:link w:val="CommentSubject"/>
    <w:rsid w:val="001A2241"/>
    <w:rPr>
      <w:b/>
      <w:bCs/>
      <w:lang w:eastAsia="en-US"/>
    </w:rPr>
  </w:style>
  <w:style w:type="character" w:customStyle="1" w:styleId="Heading2Char">
    <w:name w:val="Heading 2 Char"/>
    <w:basedOn w:val="DefaultParagraphFont"/>
    <w:link w:val="Heading2"/>
    <w:rsid w:val="00823FFB"/>
    <w:rPr>
      <w:rFonts w:ascii="Arial" w:hAnsi="Arial"/>
      <w:sz w:val="32"/>
      <w:lang w:eastAsia="en-US"/>
    </w:rPr>
  </w:style>
  <w:style w:type="paragraph" w:styleId="ListParagraph">
    <w:name w:val="List Paragraph"/>
    <w:aliases w:val="목록 단,- Bullets,??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CA0AA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 ?? Char,????? Char,???? Char,Lista1 Char,列出段落 Char,中等深浅网格 1 - 着色 21 Char,列表段落 Char,¥¡¡¡¡ì¬º¥¹¥È¶ÎÂä Char,ÁÐ³ö¶ÎÂä Char,¥ê¥¹¥È¶ÎÂä Char,列表段落1 Char,—ño’i—Ž Char,1st level - Bullet List Paragraph Char"/>
    <w:link w:val="ListParagraph"/>
    <w:uiPriority w:val="34"/>
    <w:qFormat/>
    <w:locked/>
    <w:rsid w:val="00CA0AA2"/>
    <w:rPr>
      <w:rFonts w:ascii="Calibri" w:eastAsia="Calibri" w:hAnsi="Calibri"/>
      <w:sz w:val="22"/>
      <w:szCs w:val="22"/>
      <w:lang w:val="en-US" w:eastAsia="en-US"/>
    </w:rPr>
  </w:style>
  <w:style w:type="table" w:styleId="TableGrid">
    <w:name w:val="Table Grid"/>
    <w:basedOn w:val="TableNormal"/>
    <w:rsid w:val="0061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705A0"/>
    <w:pPr>
      <w:spacing w:after="120" w:line="259"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B705A0"/>
    <w:rPr>
      <w:rFonts w:ascii="Arial" w:eastAsiaTheme="minorEastAsia" w:hAnsi="Arial"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6b71e23c700a4e5f"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5AIRPNAIUNRU-859666464-7491</_dlc_DocId>
    <_dlc_DocIdUrl xmlns="71c5aaf6-e6ce-465b-b873-5148d2a4c105">
      <Url>https://nokia.sharepoint.com/sites/c5g/e2earch/_layouts/15/DocIdRedir.aspx?ID=5AIRPNAIUNRU-859666464-7491</Url>
      <Description>5AIRPNAIUNRU-859666464-7491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6D7DCAD9-5F35-4CB1-ACFC-D5FDC64D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2439</Words>
  <Characters>13905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Ping Yuan</cp:lastModifiedBy>
  <cp:revision>317</cp:revision>
  <dcterms:created xsi:type="dcterms:W3CDTF">2016-08-12T03:53:00Z</dcterms:created>
  <dcterms:modified xsi:type="dcterms:W3CDTF">2020-10-23T03:40:00Z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e9c6b553-5c43-4cb4-8f6e-f4fda3cf601a</vt:lpwstr>
  </property>
</Properties>
</file>